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13D3F" w14:textId="77777777" w:rsidR="00A60EF6" w:rsidRDefault="00C1325C">
      <w:pPr>
        <w:pStyle w:val="Subtitle"/>
        <w:jc w:val="center"/>
        <w:rPr>
          <w:color w:val="FF001E"/>
          <w:sz w:val="44"/>
          <w:szCs w:val="44"/>
        </w:rPr>
      </w:pPr>
      <w:r>
        <w:rPr>
          <w:color w:val="FF001E"/>
          <w:sz w:val="44"/>
          <w:szCs w:val="44"/>
        </w:rPr>
        <w:t>Uso de Energia de Transporte</w:t>
      </w:r>
    </w:p>
    <w:p w14:paraId="1D376185" w14:textId="77777777" w:rsidR="00A60EF6" w:rsidRDefault="00A60EF6">
      <w:pPr>
        <w:pStyle w:val="Subtitle"/>
        <w:jc w:val="right"/>
      </w:pPr>
    </w:p>
    <w:p w14:paraId="03BE387C" w14:textId="1A65538A" w:rsidR="00A60EF6" w:rsidRDefault="00993BFB" w:rsidP="00DB250A">
      <w:pPr>
        <w:pStyle w:val="Subtitle"/>
        <w:jc w:val="right"/>
      </w:pPr>
      <w:r>
        <w:t>26</w:t>
      </w:r>
      <w:r w:rsidR="00DB250A" w:rsidRPr="00DB250A">
        <w:t xml:space="preserve"> de </w:t>
      </w:r>
      <w:r w:rsidR="000340D9">
        <w:t>abril</w:t>
      </w:r>
      <w:r w:rsidR="00DB250A" w:rsidRPr="00DB250A">
        <w:t xml:space="preserve"> de 2020</w:t>
      </w:r>
    </w:p>
    <w:p w14:paraId="3389AD1D" w14:textId="77777777" w:rsidR="00A60EF6" w:rsidRDefault="00C1325C" w:rsidP="00FC6224">
      <w:pPr>
        <w:pStyle w:val="Heading1"/>
        <w:jc w:val="both"/>
      </w:pPr>
      <w:r>
        <w:t xml:space="preserve">Visão Geral </w:t>
      </w:r>
    </w:p>
    <w:p w14:paraId="43C2F0A0" w14:textId="687B24C3" w:rsidR="00A60EF6" w:rsidRDefault="00C1325C" w:rsidP="00FC6224">
      <w:pPr>
        <w:jc w:val="both"/>
        <w:rPr>
          <w:sz w:val="24"/>
          <w:szCs w:val="24"/>
        </w:rPr>
      </w:pPr>
      <w:r>
        <w:rPr>
          <w:sz w:val="24"/>
          <w:szCs w:val="24"/>
        </w:rPr>
        <w:t xml:space="preserve">As atividades representadas no setor de Transporte incluem emissões diretas da </w:t>
      </w:r>
      <w:r w:rsidR="00204DC0">
        <w:rPr>
          <w:sz w:val="24"/>
          <w:szCs w:val="24"/>
        </w:rPr>
        <w:t xml:space="preserve">queima </w:t>
      </w:r>
      <w:r>
        <w:rPr>
          <w:sz w:val="24"/>
          <w:szCs w:val="24"/>
        </w:rPr>
        <w:t xml:space="preserve">de combustível por veículos rodoviários, bem como emissões produzidas por aeronaves, embarcações marítimas e </w:t>
      </w:r>
      <w:r w:rsidR="00204DC0">
        <w:rPr>
          <w:sz w:val="24"/>
          <w:szCs w:val="24"/>
        </w:rPr>
        <w:t>trens</w:t>
      </w:r>
      <w:r>
        <w:rPr>
          <w:sz w:val="24"/>
          <w:szCs w:val="24"/>
        </w:rPr>
        <w:t>. Os combustíveis em uso identificados foram: gasolina, diesel, gás natural comprimido (GNC)</w:t>
      </w:r>
      <w:r w:rsidR="00204DC0">
        <w:rPr>
          <w:sz w:val="24"/>
          <w:szCs w:val="24"/>
        </w:rPr>
        <w:t>,</w:t>
      </w:r>
      <w:r>
        <w:rPr>
          <w:sz w:val="24"/>
          <w:szCs w:val="24"/>
        </w:rPr>
        <w:t xml:space="preserve"> bioetanol</w:t>
      </w:r>
      <w:r w:rsidR="00204DC0">
        <w:rPr>
          <w:sz w:val="24"/>
          <w:szCs w:val="24"/>
        </w:rPr>
        <w:t>,</w:t>
      </w:r>
      <w:r>
        <w:rPr>
          <w:sz w:val="24"/>
          <w:szCs w:val="24"/>
        </w:rPr>
        <w:t xml:space="preserve"> biodiesel</w:t>
      </w:r>
      <w:r w:rsidR="00204DC0">
        <w:rPr>
          <w:sz w:val="24"/>
          <w:szCs w:val="24"/>
        </w:rPr>
        <w:t>,</w:t>
      </w:r>
      <w:r>
        <w:rPr>
          <w:sz w:val="24"/>
          <w:szCs w:val="24"/>
        </w:rPr>
        <w:t xml:space="preserve"> gasolina para aviação</w:t>
      </w:r>
      <w:r w:rsidR="00204DC0">
        <w:rPr>
          <w:sz w:val="24"/>
          <w:szCs w:val="24"/>
        </w:rPr>
        <w:t>,</w:t>
      </w:r>
      <w:r>
        <w:rPr>
          <w:sz w:val="24"/>
          <w:szCs w:val="24"/>
        </w:rPr>
        <w:t xml:space="preserve"> e querosene de aviação.</w:t>
      </w:r>
      <w:r w:rsidR="00FE4102">
        <w:rPr>
          <w:sz w:val="24"/>
          <w:szCs w:val="24"/>
        </w:rPr>
        <w:t xml:space="preserve"> </w:t>
      </w:r>
      <w:r w:rsidR="0063483A">
        <w:rPr>
          <w:sz w:val="24"/>
          <w:szCs w:val="24"/>
        </w:rPr>
        <w:t>No caso de</w:t>
      </w:r>
      <w:r w:rsidR="00204DC0">
        <w:rPr>
          <w:sz w:val="24"/>
          <w:szCs w:val="24"/>
        </w:rPr>
        <w:t xml:space="preserve"> </w:t>
      </w:r>
      <w:r>
        <w:rPr>
          <w:sz w:val="24"/>
          <w:szCs w:val="24"/>
        </w:rPr>
        <w:t xml:space="preserve">relatórios nacionais de GEE, as emissões </w:t>
      </w:r>
      <w:r w:rsidR="00204DC0">
        <w:rPr>
          <w:sz w:val="24"/>
          <w:szCs w:val="24"/>
        </w:rPr>
        <w:t>do transporte</w:t>
      </w:r>
      <w:r>
        <w:rPr>
          <w:sz w:val="24"/>
          <w:szCs w:val="24"/>
        </w:rPr>
        <w:t xml:space="preserve"> de combustíveis </w:t>
      </w:r>
      <w:r w:rsidR="00204DC0">
        <w:rPr>
          <w:sz w:val="24"/>
          <w:szCs w:val="24"/>
        </w:rPr>
        <w:t xml:space="preserve">através </w:t>
      </w:r>
      <w:r>
        <w:rPr>
          <w:sz w:val="24"/>
          <w:szCs w:val="24"/>
        </w:rPr>
        <w:t xml:space="preserve">de dutos também </w:t>
      </w:r>
      <w:r w:rsidR="00204DC0">
        <w:rPr>
          <w:sz w:val="24"/>
          <w:szCs w:val="24"/>
        </w:rPr>
        <w:t xml:space="preserve">foram </w:t>
      </w:r>
      <w:r>
        <w:rPr>
          <w:sz w:val="24"/>
          <w:szCs w:val="24"/>
        </w:rPr>
        <w:t>incluídas neste setor; no entanto, para a linha de base</w:t>
      </w:r>
      <w:r w:rsidR="00FE4102">
        <w:rPr>
          <w:sz w:val="24"/>
          <w:szCs w:val="24"/>
        </w:rPr>
        <w:t xml:space="preserve"> </w:t>
      </w:r>
      <w:r w:rsidR="00FE4102" w:rsidRPr="00FE4102">
        <w:rPr>
          <w:sz w:val="24"/>
          <w:szCs w:val="24"/>
        </w:rPr>
        <w:t>deste projeto</w:t>
      </w:r>
      <w:r>
        <w:rPr>
          <w:sz w:val="24"/>
          <w:szCs w:val="24"/>
        </w:rPr>
        <w:t>, essas emissões</w:t>
      </w:r>
      <w:r w:rsidR="00FE4102">
        <w:rPr>
          <w:sz w:val="24"/>
          <w:szCs w:val="24"/>
        </w:rPr>
        <w:t xml:space="preserve"> – quando </w:t>
      </w:r>
      <w:r w:rsidR="006F2973" w:rsidRPr="006F2973">
        <w:rPr>
          <w:sz w:val="24"/>
          <w:szCs w:val="24"/>
        </w:rPr>
        <w:t>estiverem disponíveis</w:t>
      </w:r>
      <w:r w:rsidR="006F2973">
        <w:rPr>
          <w:sz w:val="24"/>
          <w:szCs w:val="24"/>
        </w:rPr>
        <w:t xml:space="preserve"> - </w:t>
      </w:r>
      <w:r>
        <w:rPr>
          <w:sz w:val="24"/>
          <w:szCs w:val="24"/>
        </w:rPr>
        <w:t>estão incluídas no setor de suprimento de energia, subset</w:t>
      </w:r>
      <w:r w:rsidR="00DE4440">
        <w:rPr>
          <w:sz w:val="24"/>
          <w:szCs w:val="24"/>
        </w:rPr>
        <w:t>or de suprimento de combustível</w:t>
      </w:r>
      <w:r>
        <w:rPr>
          <w:sz w:val="24"/>
          <w:szCs w:val="24"/>
        </w:rPr>
        <w:t>.</w:t>
      </w:r>
    </w:p>
    <w:p w14:paraId="289601B8" w14:textId="26A53DE4" w:rsidR="00A60EF6" w:rsidRDefault="00C1325C" w:rsidP="00FC6224">
      <w:pPr>
        <w:jc w:val="both"/>
        <w:rPr>
          <w:sz w:val="24"/>
          <w:szCs w:val="24"/>
        </w:rPr>
      </w:pPr>
      <w:r>
        <w:rPr>
          <w:sz w:val="24"/>
          <w:szCs w:val="24"/>
        </w:rPr>
        <w:t xml:space="preserve">Indiretamente, o setor de Transporte também pode ser consumidor de eletricidade, na medida em que elementos do sistema de transporte foram eletrificados (por exemplo, veículos rodoviários, ônibus de transporte público, etc.). No </w:t>
      </w:r>
      <w:r w:rsidR="00231C46">
        <w:rPr>
          <w:sz w:val="24"/>
          <w:szCs w:val="24"/>
        </w:rPr>
        <w:t>Mato Grosso</w:t>
      </w:r>
      <w:r>
        <w:rPr>
          <w:sz w:val="24"/>
          <w:szCs w:val="24"/>
        </w:rPr>
        <w:t xml:space="preserve">, espera-se que o uso atual de veículos eletrificados seja muito pequeno (por exemplo, &lt;0,1% da atual frota rodoviária). </w:t>
      </w:r>
      <w:r w:rsidR="00204DC0">
        <w:rPr>
          <w:sz w:val="24"/>
          <w:szCs w:val="24"/>
        </w:rPr>
        <w:t>Uma pequena inserção</w:t>
      </w:r>
      <w:r>
        <w:rPr>
          <w:sz w:val="24"/>
          <w:szCs w:val="24"/>
        </w:rPr>
        <w:t xml:space="preserve"> de veículos eletrificados na frota </w:t>
      </w:r>
      <w:r w:rsidR="00204DC0">
        <w:rPr>
          <w:sz w:val="24"/>
          <w:szCs w:val="24"/>
        </w:rPr>
        <w:t xml:space="preserve">foi prevista no </w:t>
      </w:r>
      <w:r>
        <w:rPr>
          <w:sz w:val="24"/>
          <w:szCs w:val="24"/>
        </w:rPr>
        <w:t xml:space="preserve">BAU, e isso é descrito mais adiante. As emissões </w:t>
      </w:r>
      <w:r>
        <w:rPr>
          <w:i/>
          <w:sz w:val="24"/>
          <w:szCs w:val="24"/>
          <w:u w:val="single"/>
        </w:rPr>
        <w:t>diretas</w:t>
      </w:r>
      <w:r>
        <w:rPr>
          <w:sz w:val="24"/>
          <w:szCs w:val="24"/>
        </w:rPr>
        <w:t xml:space="preserve"> da geração, transmissão e distribuição de eletricidade são atribuídas ao setor de Energia, no subsetor de Energia Elétrica</w:t>
      </w:r>
      <w:r w:rsidR="00816EA0">
        <w:rPr>
          <w:sz w:val="24"/>
          <w:szCs w:val="24"/>
        </w:rPr>
        <w:t>.</w:t>
      </w:r>
      <w:r>
        <w:rPr>
          <w:sz w:val="24"/>
          <w:szCs w:val="24"/>
        </w:rPr>
        <w:t xml:space="preserve"> Para auxiliar os planejadores de mitigação de GEE, as emissões associadas à geração, transmissão e distribuição e </w:t>
      </w:r>
      <w:r w:rsidR="006F09A2">
        <w:rPr>
          <w:sz w:val="24"/>
          <w:szCs w:val="24"/>
        </w:rPr>
        <w:t>consum</w:t>
      </w:r>
      <w:r w:rsidR="00204DC0">
        <w:rPr>
          <w:sz w:val="24"/>
          <w:szCs w:val="24"/>
        </w:rPr>
        <w:t>o</w:t>
      </w:r>
      <w:r w:rsidR="006F09A2">
        <w:rPr>
          <w:sz w:val="24"/>
          <w:szCs w:val="24"/>
        </w:rPr>
        <w:t xml:space="preserve"> de </w:t>
      </w:r>
      <w:r>
        <w:rPr>
          <w:sz w:val="24"/>
          <w:szCs w:val="24"/>
        </w:rPr>
        <w:t xml:space="preserve">eletricidade </w:t>
      </w:r>
      <w:r w:rsidR="006F09A2">
        <w:rPr>
          <w:sz w:val="24"/>
          <w:szCs w:val="24"/>
        </w:rPr>
        <w:t>no setor de transporte</w:t>
      </w:r>
      <w:r w:rsidR="006F09A2" w:rsidRPr="006F09A2">
        <w:rPr>
          <w:sz w:val="24"/>
          <w:szCs w:val="24"/>
        </w:rPr>
        <w:t xml:space="preserve"> </w:t>
      </w:r>
      <w:r>
        <w:rPr>
          <w:sz w:val="24"/>
          <w:szCs w:val="24"/>
        </w:rPr>
        <w:t xml:space="preserve">também são apresentadas </w:t>
      </w:r>
      <w:r w:rsidR="006F09A2">
        <w:rPr>
          <w:sz w:val="24"/>
          <w:szCs w:val="24"/>
        </w:rPr>
        <w:t xml:space="preserve">aqui. </w:t>
      </w:r>
      <w:r>
        <w:rPr>
          <w:sz w:val="24"/>
          <w:szCs w:val="24"/>
        </w:rPr>
        <w:t xml:space="preserve">Observe que essas emissões são chamadas de emissões </w:t>
      </w:r>
      <w:r>
        <w:rPr>
          <w:i/>
          <w:sz w:val="24"/>
          <w:szCs w:val="24"/>
          <w:u w:val="single"/>
        </w:rPr>
        <w:t>indiretas</w:t>
      </w:r>
      <w:r>
        <w:rPr>
          <w:sz w:val="24"/>
          <w:szCs w:val="24"/>
        </w:rPr>
        <w:t xml:space="preserve"> (ou seja, "indiretas" porque não podem ser atribuídas ao ponto de uso de energia). Essa abordagem contábil "baseada no consumo" fornece uma imagem mais completa da pegada de GEE para o uso geral de energia no setor de </w:t>
      </w:r>
      <w:r w:rsidR="006F09A2">
        <w:rPr>
          <w:sz w:val="24"/>
          <w:szCs w:val="24"/>
        </w:rPr>
        <w:t>Transporte</w:t>
      </w:r>
      <w:r>
        <w:rPr>
          <w:sz w:val="24"/>
          <w:szCs w:val="24"/>
        </w:rPr>
        <w:t xml:space="preserve">. </w:t>
      </w:r>
      <w:r>
        <w:rPr>
          <w:sz w:val="24"/>
          <w:szCs w:val="24"/>
          <w:u w:val="single"/>
        </w:rPr>
        <w:t xml:space="preserve">Nota: neste projeto, sempre que forem apresentados </w:t>
      </w:r>
      <w:r>
        <w:rPr>
          <w:sz w:val="24"/>
          <w:szCs w:val="24"/>
          <w:u w:val="single"/>
        </w:rPr>
        <w:lastRenderedPageBreak/>
        <w:t>resumos de emissões que atendem tanto ao suprimento quanto à demanda de energia, as emissões indiretas são excluídas para evitar a contagem dupla.</w:t>
      </w:r>
      <w:r>
        <w:rPr>
          <w:sz w:val="24"/>
          <w:szCs w:val="24"/>
        </w:rPr>
        <w:t xml:space="preserve"> Portanto, quando as emissões </w:t>
      </w:r>
      <w:r>
        <w:rPr>
          <w:i/>
          <w:sz w:val="24"/>
          <w:szCs w:val="24"/>
          <w:u w:val="single"/>
        </w:rPr>
        <w:t>indiretas</w:t>
      </w:r>
      <w:r>
        <w:rPr>
          <w:sz w:val="24"/>
          <w:szCs w:val="24"/>
        </w:rPr>
        <w:t xml:space="preserve"> são mostradas em um gráfico de resumo, elas sempre serão identificadas como </w:t>
      </w:r>
      <w:r w:rsidR="00314E59">
        <w:rPr>
          <w:sz w:val="24"/>
          <w:szCs w:val="24"/>
        </w:rPr>
        <w:t xml:space="preserve">padrões </w:t>
      </w:r>
      <w:r>
        <w:rPr>
          <w:sz w:val="24"/>
          <w:szCs w:val="24"/>
        </w:rPr>
        <w:t xml:space="preserve">para indicar que as emissões </w:t>
      </w:r>
      <w:r>
        <w:rPr>
          <w:i/>
          <w:sz w:val="24"/>
          <w:szCs w:val="24"/>
          <w:u w:val="single"/>
        </w:rPr>
        <w:t>diretas</w:t>
      </w:r>
      <w:r w:rsidRPr="00FC6224">
        <w:rPr>
          <w:i/>
          <w:sz w:val="24"/>
          <w:szCs w:val="24"/>
        </w:rPr>
        <w:t xml:space="preserve"> </w:t>
      </w:r>
      <w:r>
        <w:rPr>
          <w:sz w:val="24"/>
          <w:szCs w:val="24"/>
        </w:rPr>
        <w:t xml:space="preserve">são contabilizadas em outro setor (as emissões </w:t>
      </w:r>
      <w:r>
        <w:rPr>
          <w:i/>
          <w:sz w:val="24"/>
          <w:szCs w:val="24"/>
          <w:u w:val="single"/>
        </w:rPr>
        <w:t>diretas</w:t>
      </w:r>
      <w:r>
        <w:rPr>
          <w:sz w:val="24"/>
          <w:szCs w:val="24"/>
        </w:rPr>
        <w:t xml:space="preserve"> sempre são mostradas em cunhas sólidas).</w:t>
      </w:r>
    </w:p>
    <w:p w14:paraId="1DCCB049" w14:textId="65AEB4D2" w:rsidR="00A60EF6" w:rsidRDefault="00C1325C" w:rsidP="00FC6224">
      <w:pPr>
        <w:pStyle w:val="Heading1"/>
        <w:jc w:val="both"/>
        <w:rPr>
          <w:color w:val="000000"/>
        </w:rPr>
      </w:pPr>
      <w:r>
        <w:t>Da</w:t>
      </w:r>
      <w:r w:rsidR="00314E59">
        <w:t>d</w:t>
      </w:r>
      <w:r>
        <w:t>os da Atividade e Consumo de Energia</w:t>
      </w:r>
    </w:p>
    <w:p w14:paraId="50939C16" w14:textId="77777777" w:rsidR="00A60EF6" w:rsidRDefault="00C1325C" w:rsidP="00FC6224">
      <w:pPr>
        <w:pStyle w:val="Heading2"/>
        <w:spacing w:before="240"/>
        <w:jc w:val="both"/>
        <w:rPr>
          <w:color w:val="000000"/>
        </w:rPr>
      </w:pPr>
      <w:r>
        <w:rPr>
          <w:color w:val="000000"/>
        </w:rPr>
        <w:t>Atividade</w:t>
      </w:r>
    </w:p>
    <w:p w14:paraId="49D7E157" w14:textId="4ECCD811" w:rsidR="00A60EF6" w:rsidRDefault="00C1325C" w:rsidP="00FC6224">
      <w:pPr>
        <w:jc w:val="both"/>
        <w:rPr>
          <w:sz w:val="24"/>
          <w:szCs w:val="24"/>
        </w:rPr>
      </w:pPr>
      <w:r>
        <w:rPr>
          <w:sz w:val="24"/>
          <w:szCs w:val="24"/>
        </w:rPr>
        <w:t>Os dados úteis da atividade para estimar o uso de combustível no setor de transporte incluem veículo-quilômetro percorrido (VKT) por veículo e tipo de combustível para a frota em estrada, ciclos de aterr</w:t>
      </w:r>
      <w:r w:rsidR="00DB3EB5">
        <w:rPr>
          <w:sz w:val="24"/>
          <w:szCs w:val="24"/>
        </w:rPr>
        <w:t>iss</w:t>
      </w:r>
      <w:r>
        <w:rPr>
          <w:sz w:val="24"/>
          <w:szCs w:val="24"/>
        </w:rPr>
        <w:t>agem/decolagem (LTOs</w:t>
      </w:r>
      <w:r w:rsidR="006F09A2">
        <w:rPr>
          <w:sz w:val="24"/>
          <w:szCs w:val="24"/>
        </w:rPr>
        <w:t xml:space="preserve"> </w:t>
      </w:r>
      <w:r w:rsidR="006F09A2" w:rsidRPr="006F09A2">
        <w:rPr>
          <w:sz w:val="24"/>
          <w:szCs w:val="24"/>
        </w:rPr>
        <w:t>por sua sigla em inglês</w:t>
      </w:r>
      <w:r>
        <w:rPr>
          <w:sz w:val="24"/>
          <w:szCs w:val="24"/>
        </w:rPr>
        <w:t xml:space="preserve">) por aeronave ou tipo de combustível e toneladas-quilômetro ou quilômetros percorridos transportados por trens de carga/passageiros. Esses dados são usados ​​juntamente com estimativas modeladas de crescimento da atividade, bem como alterações na eficiência ao longo do tempo para estimar o consumo de combustível. </w:t>
      </w:r>
      <w:r w:rsidR="000340D9" w:rsidRPr="000340D9">
        <w:rPr>
          <w:sz w:val="24"/>
          <w:szCs w:val="24"/>
        </w:rPr>
        <w:t xml:space="preserve">Os únicos dados de atividade disponíveis para São Paulo eram o número de veículos por tipo para cada ano de 2010-2017. Esses dados indicam uma tendência clara de maior uso de veículos de combustível flexível e aumento do uso de </w:t>
      </w:r>
      <w:proofErr w:type="spellStart"/>
      <w:r w:rsidR="000340D9" w:rsidRPr="000340D9">
        <w:rPr>
          <w:sz w:val="24"/>
          <w:szCs w:val="24"/>
        </w:rPr>
        <w:t>bioetanol</w:t>
      </w:r>
      <w:proofErr w:type="spellEnd"/>
      <w:r w:rsidR="000340D9" w:rsidRPr="000340D9">
        <w:rPr>
          <w:sz w:val="24"/>
          <w:szCs w:val="24"/>
        </w:rPr>
        <w:t xml:space="preserve"> no lugar da gasolina. Essa tendência no uso de combustível em veículos rodoviários é mais detalhada na próxima seção.</w:t>
      </w:r>
    </w:p>
    <w:p w14:paraId="112BDFDA" w14:textId="77777777" w:rsidR="00DB3EB5" w:rsidRDefault="00DB3EB5" w:rsidP="00204DC0">
      <w:pPr>
        <w:jc w:val="both"/>
        <w:rPr>
          <w:b/>
          <w:sz w:val="24"/>
          <w:szCs w:val="24"/>
        </w:rPr>
      </w:pPr>
    </w:p>
    <w:p w14:paraId="592B57FD" w14:textId="77777777" w:rsidR="00DB250A" w:rsidRDefault="00DB250A">
      <w:pPr>
        <w:rPr>
          <w:b/>
          <w:sz w:val="24"/>
          <w:szCs w:val="24"/>
        </w:rPr>
      </w:pPr>
      <w:r>
        <w:rPr>
          <w:b/>
          <w:sz w:val="24"/>
          <w:szCs w:val="24"/>
        </w:rPr>
        <w:br w:type="page"/>
      </w:r>
    </w:p>
    <w:p w14:paraId="70FFE953" w14:textId="6EDB6F88" w:rsidR="00BA4346" w:rsidRPr="00DB250A" w:rsidRDefault="00C1325C" w:rsidP="00DB250A">
      <w:pPr>
        <w:jc w:val="both"/>
        <w:rPr>
          <w:b/>
          <w:sz w:val="24"/>
          <w:szCs w:val="24"/>
        </w:rPr>
      </w:pPr>
      <w:r>
        <w:rPr>
          <w:b/>
          <w:sz w:val="24"/>
          <w:szCs w:val="24"/>
        </w:rPr>
        <w:lastRenderedPageBreak/>
        <w:t>Consumo de Combustível</w:t>
      </w:r>
    </w:p>
    <w:p w14:paraId="6B400015" w14:textId="1C69CB88" w:rsidR="000340D9" w:rsidRPr="000340D9" w:rsidRDefault="000340D9" w:rsidP="000340D9">
      <w:pPr>
        <w:jc w:val="both"/>
        <w:rPr>
          <w:sz w:val="24"/>
          <w:szCs w:val="24"/>
        </w:rPr>
      </w:pPr>
      <w:r w:rsidRPr="000340D9">
        <w:rPr>
          <w:sz w:val="24"/>
          <w:szCs w:val="24"/>
        </w:rPr>
        <w:t>O consumo de combustíveis por tipo de combustível e modo de transporte foi divulgado entre 2000 e 2018 no Balanço Energético do Estado de São Paulo</w:t>
      </w:r>
      <w:r>
        <w:rPr>
          <w:rStyle w:val="FootnoteReference"/>
          <w:sz w:val="24"/>
          <w:szCs w:val="24"/>
        </w:rPr>
        <w:footnoteReference w:id="1"/>
      </w:r>
      <w:r w:rsidRPr="000340D9">
        <w:rPr>
          <w:sz w:val="24"/>
          <w:szCs w:val="24"/>
        </w:rPr>
        <w:t xml:space="preserve">. Esses dados estão resumidos na Figura 1 abaixo. As unidades estão em milhares de </w:t>
      </w:r>
      <w:proofErr w:type="spellStart"/>
      <w:r w:rsidRPr="000340D9">
        <w:rPr>
          <w:sz w:val="24"/>
          <w:szCs w:val="24"/>
        </w:rPr>
        <w:t>terajoules</w:t>
      </w:r>
      <w:proofErr w:type="spellEnd"/>
      <w:r w:rsidRPr="000340D9">
        <w:rPr>
          <w:sz w:val="24"/>
          <w:szCs w:val="24"/>
        </w:rPr>
        <w:t xml:space="preserve"> (TJ). Os tipos de transporte incluídos foram </w:t>
      </w:r>
      <w:proofErr w:type="gramStart"/>
      <w:r w:rsidRPr="000340D9">
        <w:rPr>
          <w:sz w:val="24"/>
          <w:szCs w:val="24"/>
        </w:rPr>
        <w:t>rodoviário</w:t>
      </w:r>
      <w:proofErr w:type="gramEnd"/>
      <w:r w:rsidRPr="000340D9">
        <w:rPr>
          <w:sz w:val="24"/>
          <w:szCs w:val="24"/>
        </w:rPr>
        <w:t>, aéreo, marítimo comercial e ferroviário. Os dados para tipos mais específicos de transporte rodoviário (por exemplo, público / privado, leve / pesado, etc.) não estavam disponíveis.</w:t>
      </w:r>
    </w:p>
    <w:p w14:paraId="36347DF9" w14:textId="77777777" w:rsidR="000340D9" w:rsidRDefault="000340D9" w:rsidP="000340D9">
      <w:pPr>
        <w:jc w:val="both"/>
        <w:rPr>
          <w:sz w:val="24"/>
          <w:szCs w:val="24"/>
        </w:rPr>
      </w:pPr>
      <w:r w:rsidRPr="000340D9">
        <w:rPr>
          <w:sz w:val="24"/>
          <w:szCs w:val="24"/>
        </w:rPr>
        <w:t>O crescimento médio anual do consumo de energia nos transportes tem sido superior à taxa do produto real bruto (SGP). No período de 2002-2017 para o qual os dados do GSP estão disponíveis, o GSP real cresceu a uma taxa de 1,9% / ano, enquanto o consumo geral de energia de transporte cresceu a uma taxa de 3,1% / ano. O crescimento do consumo de energia apenas para a frota de veículos rodoviários foi de 3,3% / ano. A Figura 1 também inclui uma pequena quantidade de consumo de eletricidade no setor (quase muito pequeno para ser visto no período histórico). Quase tudo isso (~ 98% em 2018) está associado a ferrovias eletrificadas, com o restante a veículos rodoviários eletrificados.</w:t>
      </w:r>
    </w:p>
    <w:p w14:paraId="1F3078E6" w14:textId="77777777" w:rsidR="000340D9" w:rsidRPr="000340D9" w:rsidRDefault="00C1325C" w:rsidP="000340D9">
      <w:pPr>
        <w:jc w:val="both"/>
        <w:rPr>
          <w:sz w:val="24"/>
          <w:szCs w:val="24"/>
        </w:rPr>
      </w:pPr>
      <w:r>
        <w:rPr>
          <w:b/>
          <w:sz w:val="24"/>
          <w:szCs w:val="24"/>
        </w:rPr>
        <w:t>Dados Históricos de Veículos Rodoviários</w:t>
      </w:r>
      <w:r>
        <w:rPr>
          <w:sz w:val="24"/>
          <w:szCs w:val="24"/>
        </w:rPr>
        <w:t xml:space="preserve">. </w:t>
      </w:r>
      <w:r w:rsidR="000340D9" w:rsidRPr="000340D9">
        <w:rPr>
          <w:sz w:val="24"/>
          <w:szCs w:val="24"/>
        </w:rPr>
        <w:t>Uma vez que nenhuma previsão de atividade de veículo estava disponível, uma relação entre o crescimento do GSP e o crescimento do consumo de energia do veículo rodoviário foi derivada (ver Figura 2 abaixo). Em seguida, as seguintes etapas foram realizadas para gerar a previsão do veículo rodoviário:</w:t>
      </w:r>
    </w:p>
    <w:p w14:paraId="22201C8A" w14:textId="77777777" w:rsidR="000340D9" w:rsidRPr="000340D9" w:rsidRDefault="000340D9" w:rsidP="000340D9">
      <w:pPr>
        <w:pStyle w:val="ListParagraph"/>
        <w:numPr>
          <w:ilvl w:val="0"/>
          <w:numId w:val="2"/>
        </w:numPr>
        <w:jc w:val="both"/>
        <w:rPr>
          <w:sz w:val="24"/>
          <w:szCs w:val="24"/>
        </w:rPr>
      </w:pPr>
      <w:r w:rsidRPr="000340D9">
        <w:rPr>
          <w:sz w:val="24"/>
          <w:szCs w:val="24"/>
        </w:rPr>
        <w:t>O uso total de energia para veículos rodoviários foi estimado usando a equação mostrada na Figura 2 abaixo.</w:t>
      </w:r>
    </w:p>
    <w:p w14:paraId="499D770D" w14:textId="60416CCA" w:rsidR="000340D9" w:rsidRPr="000340D9" w:rsidRDefault="000340D9" w:rsidP="000340D9">
      <w:pPr>
        <w:pStyle w:val="ListParagraph"/>
        <w:numPr>
          <w:ilvl w:val="0"/>
          <w:numId w:val="2"/>
        </w:numPr>
        <w:jc w:val="both"/>
        <w:rPr>
          <w:sz w:val="24"/>
          <w:szCs w:val="24"/>
        </w:rPr>
      </w:pPr>
      <w:r w:rsidRPr="000340D9">
        <w:rPr>
          <w:sz w:val="24"/>
          <w:szCs w:val="24"/>
        </w:rPr>
        <w:lastRenderedPageBreak/>
        <w:t>A previsão de combustível total para a frota rodoviária foi ajustada aplicando um aumento anual na eficiência da frota de 1,3% / ano</w:t>
      </w:r>
      <w:r>
        <w:rPr>
          <w:sz w:val="24"/>
          <w:szCs w:val="24"/>
        </w:rPr>
        <w:t>.</w:t>
      </w:r>
      <w:r>
        <w:rPr>
          <w:rStyle w:val="FootnoteReference"/>
          <w:sz w:val="24"/>
          <w:szCs w:val="24"/>
        </w:rPr>
        <w:footnoteReference w:id="2"/>
      </w:r>
    </w:p>
    <w:p w14:paraId="38ED1054" w14:textId="44F3B0C0" w:rsidR="000340D9" w:rsidRPr="000340D9" w:rsidRDefault="000340D9" w:rsidP="000340D9">
      <w:pPr>
        <w:pStyle w:val="ListParagraph"/>
        <w:numPr>
          <w:ilvl w:val="0"/>
          <w:numId w:val="2"/>
        </w:numPr>
        <w:jc w:val="both"/>
        <w:rPr>
          <w:sz w:val="24"/>
          <w:szCs w:val="24"/>
        </w:rPr>
      </w:pPr>
      <w:r w:rsidRPr="000340D9">
        <w:rPr>
          <w:sz w:val="24"/>
          <w:szCs w:val="24"/>
        </w:rPr>
        <w:t>Uma previsão da fração de consumo dos diferentes combustíveis para veículos rodoviários foi obtida pela tendência dos dados históricos de 2013 a 2018. A tendência foi aplicada até 2030. Para 2030-2050, o consumo por tipo de combustível foi mantido constante. O principal impacto dessa etapa foi a continuidade de uma mudança histórica da gasolina para o etanol. Em 2018, a gasolina representou 29% do consumo de energia dos veículos rodoviários e o etanol, 27%. Em 2030, a gasolina representará 24% do consumo de energia dos veículos rodoviários e o etanol 38%.</w:t>
      </w:r>
    </w:p>
    <w:p w14:paraId="07F3CEC0" w14:textId="3B11ED11" w:rsidR="000340D9" w:rsidRPr="000340D9" w:rsidRDefault="000340D9" w:rsidP="000340D9">
      <w:pPr>
        <w:pStyle w:val="ListParagraph"/>
        <w:numPr>
          <w:ilvl w:val="0"/>
          <w:numId w:val="2"/>
        </w:numPr>
        <w:jc w:val="both"/>
        <w:rPr>
          <w:sz w:val="24"/>
          <w:szCs w:val="24"/>
        </w:rPr>
      </w:pPr>
      <w:r w:rsidRPr="000340D9">
        <w:rPr>
          <w:sz w:val="24"/>
          <w:szCs w:val="24"/>
        </w:rPr>
        <w:t>Também foi estimada a quantidade de energia elétrica consumida na frota de veículos rodoviários. Isso exigiu o desenvolvimento de algumas estimativas de consumo potencial de veículos elétricos em SP. A proporção de novos veículos eletrificados foi calculada em parte com base nas informações apresentadas em um recente estudo global sobre a captura de veículos eletrificados pela Agência Internacional de Energia.</w:t>
      </w:r>
      <w:r>
        <w:rPr>
          <w:rStyle w:val="FootnoteReference"/>
          <w:sz w:val="24"/>
          <w:szCs w:val="24"/>
        </w:rPr>
        <w:footnoteReference w:id="3"/>
      </w:r>
      <w:r w:rsidRPr="000340D9">
        <w:rPr>
          <w:sz w:val="24"/>
          <w:szCs w:val="24"/>
        </w:rPr>
        <w:t xml:space="preserve"> O Brasil não foi abordado especificamente nesse estudo, então foi assumido que a adoção de veículos para SP se comportaria de forma semelhante a outros países que não têm políticas progressivas de eletrificação de veículos atualmente em vigor. Especificamente, a IEA comparou partes da América do Norte que tinham tais políticas (por exemplo, Califórnia e Canadá) com aquelas que não tinham (muitos outros estados dos EUA). Essa comparação indicou que áreas progressivas poderiam ter taxas de adoção de até 29% em 2030, em comparação com outras áreas que veriam taxas </w:t>
      </w:r>
      <w:r w:rsidRPr="000340D9">
        <w:rPr>
          <w:sz w:val="24"/>
          <w:szCs w:val="24"/>
        </w:rPr>
        <w:lastRenderedPageBreak/>
        <w:t>em torno de 8% (taxas de adoção =% das vendas de veículos particulares). A taxa de adoção de 8% foi selecionada para SP, e a extrapolação desse crescimento rendeu uma taxa de adoção de pouco mais de 20% em 2050. Observe que a taxa de adoção ainda rende apenas cerca de 4,5% do total de veículos elétricos na frota de veículos particulares em 2050. O consumo total de energia por veículos elétricos em cada ano foi calculado a partir de uma estimativa do uso médio histórico de gasolina e etanol por veículo. Uma vez que esses valores representam o uso de combustível, não o uso de um trem de força eletrificado, os valores de consumo de combustível foram multiplicados por um fator de 0,33 para representar a quantidade de eletricidade necessária (os trens de força eletrificados requerem apenas 1/3 da energia necessária para trens de força do motor de combustão interna).</w:t>
      </w:r>
    </w:p>
    <w:p w14:paraId="181EC5E5" w14:textId="68C805B7" w:rsidR="006F09A2" w:rsidRDefault="000340D9" w:rsidP="000340D9">
      <w:pPr>
        <w:jc w:val="both"/>
        <w:rPr>
          <w:rFonts w:ascii="Arial" w:eastAsia="Arial" w:hAnsi="Arial" w:cs="Arial"/>
          <w:b/>
          <w:sz w:val="22"/>
          <w:szCs w:val="22"/>
        </w:rPr>
      </w:pPr>
      <w:r>
        <w:rPr>
          <w:noProof/>
        </w:rPr>
        <w:lastRenderedPageBreak/>
        <w:drawing>
          <wp:inline distT="0" distB="0" distL="0" distR="0" wp14:anchorId="5C901F69" wp14:editId="6B8394DC">
            <wp:extent cx="5731510" cy="3299086"/>
            <wp:effectExtent l="0" t="0" r="8890" b="15875"/>
            <wp:docPr id="1" name="Chart 1">
              <a:extLst xmlns:a="http://schemas.openxmlformats.org/drawingml/2006/main">
                <a:ext uri="{FF2B5EF4-FFF2-40B4-BE49-F238E27FC236}">
                  <a16:creationId xmlns:a16="http://schemas.microsoft.com/office/drawing/2014/main" id="{70262816-037F-4F3A-829B-38C7DCECD2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9AA3AE" w14:textId="190FA1FC" w:rsidR="00A60EF6" w:rsidRDefault="00C1325C" w:rsidP="00FC6224">
      <w:pPr>
        <w:spacing w:before="120" w:after="120" w:line="240" w:lineRule="auto"/>
        <w:jc w:val="both"/>
        <w:rPr>
          <w:rFonts w:ascii="Arial" w:eastAsia="Arial" w:hAnsi="Arial" w:cs="Arial"/>
          <w:b/>
          <w:sz w:val="22"/>
          <w:szCs w:val="22"/>
        </w:rPr>
      </w:pPr>
      <w:r w:rsidRPr="00AE1863">
        <w:rPr>
          <w:rFonts w:ascii="Arial" w:eastAsia="Arial" w:hAnsi="Arial" w:cs="Arial"/>
          <w:b/>
          <w:sz w:val="22"/>
          <w:szCs w:val="22"/>
        </w:rPr>
        <w:t>Figura 1. Linha de base do consumo de energia no transporte</w:t>
      </w:r>
    </w:p>
    <w:p w14:paraId="07C60C9A" w14:textId="4668723A" w:rsidR="000340D9" w:rsidRDefault="000340D9" w:rsidP="00FC6224">
      <w:pPr>
        <w:spacing w:before="120" w:after="120" w:line="240" w:lineRule="auto"/>
        <w:jc w:val="both"/>
        <w:rPr>
          <w:rFonts w:ascii="Arial" w:eastAsia="Arial" w:hAnsi="Arial" w:cs="Arial"/>
          <w:b/>
          <w:sz w:val="22"/>
          <w:szCs w:val="22"/>
        </w:rPr>
      </w:pPr>
    </w:p>
    <w:p w14:paraId="2FF2E2A1" w14:textId="5190DC81" w:rsidR="000340D9" w:rsidRDefault="000340D9" w:rsidP="00FC6224">
      <w:pPr>
        <w:spacing w:before="120" w:after="120" w:line="240" w:lineRule="auto"/>
        <w:jc w:val="both"/>
        <w:rPr>
          <w:rFonts w:ascii="Arial" w:eastAsia="Arial" w:hAnsi="Arial" w:cs="Arial"/>
          <w:b/>
          <w:sz w:val="22"/>
          <w:szCs w:val="22"/>
        </w:rPr>
      </w:pPr>
      <w:r>
        <w:rPr>
          <w:noProof/>
        </w:rPr>
        <w:lastRenderedPageBreak/>
        <w:drawing>
          <wp:inline distT="0" distB="0" distL="0" distR="0" wp14:anchorId="0620EF7F" wp14:editId="38909AAD">
            <wp:extent cx="5268595" cy="2851841"/>
            <wp:effectExtent l="0" t="0" r="8255" b="5715"/>
            <wp:docPr id="3" name="Chart 3">
              <a:extLst xmlns:a="http://schemas.openxmlformats.org/drawingml/2006/main">
                <a:ext uri="{FF2B5EF4-FFF2-40B4-BE49-F238E27FC236}">
                  <a16:creationId xmlns:a16="http://schemas.microsoft.com/office/drawing/2014/main" id="{5AA61BAF-416C-4CFA-AFA9-942E22B30D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Arial" w:eastAsia="Arial" w:hAnsi="Arial" w:cs="Arial"/>
          <w:b/>
          <w:sz w:val="22"/>
          <w:szCs w:val="22"/>
        </w:rPr>
        <w:t>\</w:t>
      </w:r>
    </w:p>
    <w:p w14:paraId="3D681815" w14:textId="44F3EE07" w:rsidR="000340D9" w:rsidRDefault="000340D9" w:rsidP="00FC6224">
      <w:pPr>
        <w:spacing w:before="120" w:after="120" w:line="240" w:lineRule="auto"/>
        <w:jc w:val="both"/>
        <w:rPr>
          <w:rFonts w:ascii="Arial" w:eastAsia="Arial" w:hAnsi="Arial" w:cs="Arial"/>
          <w:b/>
          <w:sz w:val="22"/>
          <w:szCs w:val="22"/>
        </w:rPr>
      </w:pPr>
      <w:r w:rsidRPr="000340D9">
        <w:rPr>
          <w:rFonts w:ascii="Arial" w:eastAsia="Arial" w:hAnsi="Arial" w:cs="Arial"/>
          <w:b/>
          <w:sz w:val="22"/>
          <w:szCs w:val="22"/>
        </w:rPr>
        <w:t>Figura 2. Consumo histórico de energia de veículos rodoviários e GSP</w:t>
      </w:r>
    </w:p>
    <w:p w14:paraId="4C010AB9" w14:textId="77777777" w:rsidR="00C8436B" w:rsidRDefault="00C8436B" w:rsidP="00FC6224">
      <w:pPr>
        <w:spacing w:before="120" w:after="120" w:line="240" w:lineRule="auto"/>
        <w:jc w:val="both"/>
        <w:rPr>
          <w:rFonts w:ascii="Arial" w:eastAsia="Arial" w:hAnsi="Arial" w:cs="Arial"/>
          <w:b/>
          <w:sz w:val="22"/>
          <w:szCs w:val="22"/>
        </w:rPr>
      </w:pPr>
    </w:p>
    <w:p w14:paraId="2EB3ED43" w14:textId="268C6C6B" w:rsidR="000340D9" w:rsidRDefault="00BA049F" w:rsidP="00FC6224">
      <w:pPr>
        <w:spacing w:before="120" w:after="120" w:line="240" w:lineRule="auto"/>
        <w:jc w:val="both"/>
        <w:rPr>
          <w:sz w:val="24"/>
          <w:szCs w:val="24"/>
        </w:rPr>
      </w:pPr>
      <w:r w:rsidRPr="00BA049F">
        <w:rPr>
          <w:b/>
          <w:sz w:val="24"/>
          <w:szCs w:val="24"/>
        </w:rPr>
        <w:t xml:space="preserve">Previsões de energia de veículos não-rodoviários. </w:t>
      </w:r>
      <w:r w:rsidRPr="00BA049F">
        <w:rPr>
          <w:bCs/>
          <w:sz w:val="24"/>
          <w:szCs w:val="24"/>
        </w:rPr>
        <w:t>Tal como acontece com o consumo de energia dos veículos rodoviários, foi avaliada a relação entre o GSP histórico e o consumo de energia não rodoviária. O gráfico X-Y é mostrado na Figura 3 abaixo. A equação mostrada na Figura 3 abaixo foi aplicada a cada um dos subsetores não rodoviários e tipos de energia para gerar a previsão de consumo de energia. Nenhuma mudança nos combustíveis usados dentro de cada subsetor foi assumida. Além disso, nenhum ganho em eficiência energética foi assumido para cada subsetor.</w:t>
      </w:r>
    </w:p>
    <w:p w14:paraId="00E5E735" w14:textId="0EE38924" w:rsidR="000340D9" w:rsidRDefault="000340D9" w:rsidP="00FC6224">
      <w:pPr>
        <w:spacing w:before="120" w:after="120" w:line="240" w:lineRule="auto"/>
        <w:jc w:val="both"/>
        <w:rPr>
          <w:sz w:val="24"/>
          <w:szCs w:val="24"/>
        </w:rPr>
      </w:pPr>
    </w:p>
    <w:p w14:paraId="4A10D5FD" w14:textId="66DB338F" w:rsidR="000340D9" w:rsidRDefault="000340D9" w:rsidP="00FC6224">
      <w:pPr>
        <w:spacing w:before="120" w:after="120" w:line="240" w:lineRule="auto"/>
        <w:jc w:val="both"/>
        <w:rPr>
          <w:sz w:val="24"/>
          <w:szCs w:val="24"/>
        </w:rPr>
      </w:pPr>
      <w:r>
        <w:rPr>
          <w:noProof/>
        </w:rPr>
        <w:lastRenderedPageBreak/>
        <w:drawing>
          <wp:inline distT="0" distB="0" distL="0" distR="0" wp14:anchorId="0387CC99" wp14:editId="0BC0C90D">
            <wp:extent cx="5413972" cy="2888055"/>
            <wp:effectExtent l="0" t="0" r="15875" b="7620"/>
            <wp:docPr id="4" name="Chart 4">
              <a:extLst xmlns:a="http://schemas.openxmlformats.org/drawingml/2006/main">
                <a:ext uri="{FF2B5EF4-FFF2-40B4-BE49-F238E27FC236}">
                  <a16:creationId xmlns:a16="http://schemas.microsoft.com/office/drawing/2014/main" id="{899B9B15-0587-4B34-AC57-410C226885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255D550" w14:textId="490A237C" w:rsidR="000340D9" w:rsidRDefault="000340D9" w:rsidP="00FC6224">
      <w:pPr>
        <w:spacing w:before="120" w:after="120" w:line="240" w:lineRule="auto"/>
        <w:jc w:val="both"/>
        <w:rPr>
          <w:b/>
          <w:bCs/>
          <w:sz w:val="24"/>
          <w:szCs w:val="24"/>
        </w:rPr>
      </w:pPr>
      <w:r w:rsidRPr="000340D9">
        <w:rPr>
          <w:b/>
          <w:bCs/>
          <w:sz w:val="24"/>
          <w:szCs w:val="24"/>
        </w:rPr>
        <w:t>Figura 3. Consumo Histórico de Energia Não Rodoviária e GSP</w:t>
      </w:r>
    </w:p>
    <w:p w14:paraId="4F67148C" w14:textId="77777777" w:rsidR="00BA049F" w:rsidRDefault="00BA049F" w:rsidP="00BA049F">
      <w:pPr>
        <w:spacing w:before="120" w:after="120" w:line="240" w:lineRule="auto"/>
        <w:jc w:val="both"/>
        <w:rPr>
          <w:sz w:val="24"/>
          <w:szCs w:val="24"/>
        </w:rPr>
      </w:pPr>
    </w:p>
    <w:p w14:paraId="76495F43" w14:textId="4B45CA1A" w:rsidR="00BA049F" w:rsidRPr="00BA049F" w:rsidRDefault="00BA049F" w:rsidP="00BA049F">
      <w:pPr>
        <w:spacing w:before="120" w:after="120" w:line="240" w:lineRule="auto"/>
        <w:jc w:val="both"/>
        <w:rPr>
          <w:sz w:val="24"/>
          <w:szCs w:val="24"/>
        </w:rPr>
      </w:pPr>
      <w:r w:rsidRPr="00BA049F">
        <w:rPr>
          <w:sz w:val="24"/>
          <w:szCs w:val="24"/>
        </w:rPr>
        <w:t>A Figura 1 acima fornece o consumo de energia previsto para o setor de Transporte. O consumo de eletricidade por veículos ferroviários e rodoviários eletrificados é apresentado em conjunto; no entanto, conforme indicado nesta figura, sua contribuição como fonte de energia ainda é muito pequena durante o período de previsão.</w:t>
      </w:r>
    </w:p>
    <w:p w14:paraId="25003732" w14:textId="09E400E9" w:rsidR="00BA049F" w:rsidRPr="00BA049F" w:rsidRDefault="00BA049F" w:rsidP="00BA049F">
      <w:pPr>
        <w:spacing w:before="120" w:after="120" w:line="240" w:lineRule="auto"/>
        <w:jc w:val="both"/>
        <w:rPr>
          <w:sz w:val="24"/>
          <w:szCs w:val="24"/>
        </w:rPr>
      </w:pPr>
      <w:r w:rsidRPr="00BA049F">
        <w:rPr>
          <w:sz w:val="24"/>
          <w:szCs w:val="24"/>
        </w:rPr>
        <w:t xml:space="preserve">As melhorias futuras nas estimativas de uso de energia desenvolvidas para esta linha de base incluem: alocação de combustível total de veículos rodoviários usado para diferentes categorias de veículos rodoviários; modelagem do crescimento da atividade (veículo-quilômetros percorridos para a frota rodoviária) para diferentes tipos de veículos e combustíveis; desenvolver e aplicar eficiências de energia a cada veículo / categoria de combustível representativa da frota SP (por exemplo, quilômetros / litro de combustível); e </w:t>
      </w:r>
      <w:r w:rsidRPr="00BA049F">
        <w:rPr>
          <w:sz w:val="24"/>
          <w:szCs w:val="24"/>
        </w:rPr>
        <w:lastRenderedPageBreak/>
        <w:t xml:space="preserve">desenvolver estimativas mais refinadas de absorção de veículos eletrificados no estado. Os estudos que abordaram os níveis de atividade futura da atividade do subsetor aéreo / ferroviário / </w:t>
      </w:r>
      <w:proofErr w:type="gramStart"/>
      <w:r w:rsidRPr="00BA049F">
        <w:rPr>
          <w:sz w:val="24"/>
          <w:szCs w:val="24"/>
        </w:rPr>
        <w:t>marítimo também podem</w:t>
      </w:r>
      <w:proofErr w:type="gramEnd"/>
      <w:r w:rsidRPr="00BA049F">
        <w:rPr>
          <w:sz w:val="24"/>
          <w:szCs w:val="24"/>
        </w:rPr>
        <w:t xml:space="preserve"> ser usados ​​para refinar as previsões fornecidas aqui, se estiverem disponíveis. No entanto, conforme indicado na Figura 1, os veículos rodoviários consomem muito mais energia do que todos os subsetores não rodoviários combinados.</w:t>
      </w:r>
      <w:r>
        <w:rPr>
          <w:rStyle w:val="FootnoteReference"/>
          <w:sz w:val="24"/>
          <w:szCs w:val="24"/>
        </w:rPr>
        <w:footnoteReference w:id="4"/>
      </w:r>
    </w:p>
    <w:p w14:paraId="3B267762" w14:textId="77777777" w:rsidR="000340D9" w:rsidRDefault="000340D9" w:rsidP="00FC6224">
      <w:pPr>
        <w:spacing w:before="120" w:after="120" w:line="240" w:lineRule="auto"/>
        <w:jc w:val="both"/>
        <w:rPr>
          <w:sz w:val="24"/>
          <w:szCs w:val="24"/>
        </w:rPr>
      </w:pPr>
    </w:p>
    <w:p w14:paraId="027EF9B1" w14:textId="77777777" w:rsidR="00A60EF6" w:rsidRDefault="00C1325C" w:rsidP="00FC6224">
      <w:pPr>
        <w:pStyle w:val="Heading1"/>
        <w:jc w:val="both"/>
      </w:pPr>
      <w:bookmarkStart w:id="0" w:name="_heading=h.55bu4m1i0fs" w:colFirst="0" w:colLast="0"/>
      <w:bookmarkEnd w:id="0"/>
      <w:r>
        <w:t>Emissões de GEE</w:t>
      </w:r>
    </w:p>
    <w:p w14:paraId="515ED997" w14:textId="5BFD8A65" w:rsidR="00BA049F" w:rsidRPr="00BA049F" w:rsidRDefault="00BA049F" w:rsidP="00BA049F">
      <w:pPr>
        <w:spacing w:after="240"/>
        <w:jc w:val="both"/>
        <w:rPr>
          <w:sz w:val="24"/>
          <w:szCs w:val="24"/>
        </w:rPr>
      </w:pPr>
      <w:r w:rsidRPr="00BA049F">
        <w:rPr>
          <w:sz w:val="24"/>
          <w:szCs w:val="24"/>
        </w:rPr>
        <w:t>A linha de base das emissões de GEE é mostrada na Figura 4. Para a queima de combustível, as emissões foram estimadas com base nos fatores de emissão do IPCC.</w:t>
      </w:r>
      <w:r>
        <w:rPr>
          <w:rStyle w:val="FootnoteReference"/>
          <w:sz w:val="24"/>
          <w:szCs w:val="24"/>
        </w:rPr>
        <w:footnoteReference w:id="5"/>
      </w:r>
      <w:r w:rsidRPr="00BA049F">
        <w:rPr>
          <w:sz w:val="24"/>
          <w:szCs w:val="24"/>
        </w:rPr>
        <w:t xml:space="preserve"> As emissões foram convertidas em equivalentes de dióxido de carbono (CO</w:t>
      </w:r>
      <w:r w:rsidRPr="004B3825">
        <w:rPr>
          <w:sz w:val="24"/>
          <w:szCs w:val="24"/>
          <w:vertAlign w:val="subscript"/>
        </w:rPr>
        <w:t>2</w:t>
      </w:r>
      <w:r w:rsidRPr="00BA049F">
        <w:rPr>
          <w:sz w:val="24"/>
          <w:szCs w:val="24"/>
        </w:rPr>
        <w:t>e) usando os potenciais de aquecimento global do Quinto Relatório de Avaliação do IPCC (AR5).</w:t>
      </w:r>
      <w:r>
        <w:rPr>
          <w:rStyle w:val="FootnoteReference"/>
          <w:sz w:val="24"/>
          <w:szCs w:val="24"/>
        </w:rPr>
        <w:footnoteReference w:id="6"/>
      </w:r>
      <w:r w:rsidRPr="00BA049F">
        <w:rPr>
          <w:sz w:val="24"/>
          <w:szCs w:val="24"/>
        </w:rPr>
        <w:t xml:space="preserve"> A Figura 2 inclui </w:t>
      </w:r>
      <w:r w:rsidRPr="00BA049F">
        <w:rPr>
          <w:sz w:val="24"/>
          <w:szCs w:val="24"/>
        </w:rPr>
        <w:lastRenderedPageBreak/>
        <w:t xml:space="preserve">emissões não biogênicas diretas da queima de combustível, emissões indiretas do consumo de eletricidade por ferrovias e veículos rodoviários elétricos e emissões biogênicas diretas de </w:t>
      </w:r>
      <w:proofErr w:type="spellStart"/>
      <w:r w:rsidRPr="00BA049F">
        <w:rPr>
          <w:sz w:val="24"/>
          <w:szCs w:val="24"/>
        </w:rPr>
        <w:t>bioetanol</w:t>
      </w:r>
      <w:proofErr w:type="spellEnd"/>
      <w:r w:rsidRPr="00BA049F">
        <w:rPr>
          <w:sz w:val="24"/>
          <w:szCs w:val="24"/>
        </w:rPr>
        <w:t xml:space="preserve"> e biodiesel. Em relação às emissões indiretas do consumo de energia com base na rede, o resumo da linha de base do setor de Fornecimento de Energia (ES) fornece mais detalhes (por exemplo, intensidade de carbono da energia da rede). A análise do setor ES indicou que, se o teor de carbono da eletricidade importada for considerado um espelho da intensidade de carbono nacional geral, o teor de carbono geral da eletricidade consumida no estado é bastante baixo, variando de cerca de 0,02-0,07 toneladas de CO</w:t>
      </w:r>
      <w:r w:rsidRPr="004B3825">
        <w:rPr>
          <w:sz w:val="24"/>
          <w:szCs w:val="24"/>
          <w:vertAlign w:val="subscript"/>
        </w:rPr>
        <w:t>2</w:t>
      </w:r>
      <w:r w:rsidRPr="00BA049F">
        <w:rPr>
          <w:sz w:val="24"/>
          <w:szCs w:val="24"/>
        </w:rPr>
        <w:t>e para cada megawatt-hora consumido. É importante notar que se a energia importada para SP tiver um conteúdo de combustível fóssil muito maior do que a média nacional, então as emissões indiretas relatadas aqui podem ser muito maiores.</w:t>
      </w:r>
    </w:p>
    <w:p w14:paraId="3ECE5C82" w14:textId="7A5F3C4F" w:rsidR="00BA049F" w:rsidRPr="00BA049F" w:rsidRDefault="00BA049F" w:rsidP="00BA049F">
      <w:pPr>
        <w:spacing w:after="240"/>
        <w:jc w:val="both"/>
        <w:rPr>
          <w:sz w:val="24"/>
          <w:szCs w:val="24"/>
        </w:rPr>
      </w:pPr>
      <w:r w:rsidRPr="00BA049F">
        <w:rPr>
          <w:sz w:val="24"/>
          <w:szCs w:val="24"/>
        </w:rPr>
        <w:t>As emissões diretas totais são estimadas em 52 TgCO</w:t>
      </w:r>
      <w:r w:rsidRPr="004B3825">
        <w:rPr>
          <w:sz w:val="24"/>
          <w:szCs w:val="24"/>
          <w:vertAlign w:val="subscript"/>
        </w:rPr>
        <w:t>2</w:t>
      </w:r>
      <w:r w:rsidRPr="00BA049F">
        <w:rPr>
          <w:sz w:val="24"/>
          <w:szCs w:val="24"/>
        </w:rPr>
        <w:t>e em 2018, crescendo 1,7% / ano para 97 TgCO</w:t>
      </w:r>
      <w:r w:rsidRPr="004B3825">
        <w:rPr>
          <w:sz w:val="24"/>
          <w:szCs w:val="24"/>
          <w:vertAlign w:val="subscript"/>
        </w:rPr>
        <w:t>2</w:t>
      </w:r>
      <w:r w:rsidRPr="00BA049F">
        <w:rPr>
          <w:sz w:val="24"/>
          <w:szCs w:val="24"/>
        </w:rPr>
        <w:t>e em 2050. Isso exclui o CO</w:t>
      </w:r>
      <w:r w:rsidRPr="004B3825">
        <w:rPr>
          <w:sz w:val="24"/>
          <w:szCs w:val="24"/>
          <w:vertAlign w:val="subscript"/>
        </w:rPr>
        <w:t>2</w:t>
      </w:r>
      <w:r w:rsidRPr="00BA049F">
        <w:rPr>
          <w:sz w:val="24"/>
          <w:szCs w:val="24"/>
        </w:rPr>
        <w:t xml:space="preserve"> biogênico do </w:t>
      </w:r>
      <w:proofErr w:type="spellStart"/>
      <w:r w:rsidRPr="00BA049F">
        <w:rPr>
          <w:sz w:val="24"/>
          <w:szCs w:val="24"/>
        </w:rPr>
        <w:t>bioetanol</w:t>
      </w:r>
      <w:proofErr w:type="spellEnd"/>
      <w:r w:rsidRPr="00BA049F">
        <w:rPr>
          <w:sz w:val="24"/>
          <w:szCs w:val="24"/>
        </w:rPr>
        <w:t xml:space="preserve"> e da combustão do biodiesel (15 TgCO</w:t>
      </w:r>
      <w:r w:rsidRPr="004B3825">
        <w:rPr>
          <w:sz w:val="24"/>
          <w:szCs w:val="24"/>
          <w:vertAlign w:val="subscript"/>
        </w:rPr>
        <w:t>2</w:t>
      </w:r>
      <w:r w:rsidRPr="00BA049F">
        <w:rPr>
          <w:sz w:val="24"/>
          <w:szCs w:val="24"/>
        </w:rPr>
        <w:t xml:space="preserve"> em 2018 e 39 TgCO</w:t>
      </w:r>
      <w:r w:rsidRPr="004B3825">
        <w:rPr>
          <w:sz w:val="24"/>
          <w:szCs w:val="24"/>
          <w:vertAlign w:val="subscript"/>
        </w:rPr>
        <w:t>2</w:t>
      </w:r>
      <w:r w:rsidRPr="00BA049F">
        <w:rPr>
          <w:sz w:val="24"/>
          <w:szCs w:val="24"/>
        </w:rPr>
        <w:t xml:space="preserve"> em 2050). Essas emissões biogênicas de CO</w:t>
      </w:r>
      <w:r w:rsidRPr="004B3825">
        <w:rPr>
          <w:sz w:val="24"/>
          <w:szCs w:val="24"/>
          <w:vertAlign w:val="subscript"/>
        </w:rPr>
        <w:t>2</w:t>
      </w:r>
      <w:r w:rsidRPr="00BA049F">
        <w:rPr>
          <w:sz w:val="24"/>
          <w:szCs w:val="24"/>
        </w:rPr>
        <w:t xml:space="preserve"> são mostradas como cunhas transparentes no topo da Figura 4, no entanto, para fins de contabilização das emissões de GEE, elas são consideradas neutras em carbono (portanto, não estão incluídas nos resumos de emissões de toda a economia produzidos no Projeto </w:t>
      </w:r>
      <w:proofErr w:type="spellStart"/>
      <w:r w:rsidRPr="00BA049F">
        <w:rPr>
          <w:sz w:val="24"/>
          <w:szCs w:val="24"/>
        </w:rPr>
        <w:t>Pathways</w:t>
      </w:r>
      <w:proofErr w:type="spellEnd"/>
      <w:r w:rsidRPr="00BA049F">
        <w:rPr>
          <w:sz w:val="24"/>
          <w:szCs w:val="24"/>
        </w:rPr>
        <w:t>)</w:t>
      </w:r>
      <w:r w:rsidR="004B3825">
        <w:rPr>
          <w:sz w:val="24"/>
          <w:szCs w:val="24"/>
        </w:rPr>
        <w:t>.</w:t>
      </w:r>
      <w:r w:rsidRPr="00BA049F">
        <w:rPr>
          <w:sz w:val="24"/>
          <w:szCs w:val="24"/>
        </w:rPr>
        <w:t xml:space="preserve"> </w:t>
      </w:r>
      <w:proofErr w:type="gramStart"/>
      <w:r w:rsidRPr="00BA049F">
        <w:rPr>
          <w:sz w:val="24"/>
          <w:szCs w:val="24"/>
        </w:rPr>
        <w:t>Conforme</w:t>
      </w:r>
      <w:proofErr w:type="gramEnd"/>
      <w:r w:rsidRPr="00BA049F">
        <w:rPr>
          <w:sz w:val="24"/>
          <w:szCs w:val="24"/>
        </w:rPr>
        <w:t xml:space="preserve"> mostrado na Figura 2, as maiores fontes de emissões são os veículos rodoviários a gasolina e a diesel, contribuindo juntamente com 80% das emissões diretas em 2018 e 67% em 2050. Os aviões a jato também são uma fonte significativa de emissões de GEE em transporte. Eles contribuem com 15% das emissões em 2018 e devem contribuir com 26% do total de emissões diretas até 2050.</w:t>
      </w:r>
    </w:p>
    <w:p w14:paraId="3E2D25F2" w14:textId="77777777" w:rsidR="00BA049F" w:rsidRDefault="00BA049F" w:rsidP="00BA049F">
      <w:pPr>
        <w:spacing w:after="240"/>
        <w:jc w:val="both"/>
        <w:rPr>
          <w:noProof/>
          <w:sz w:val="24"/>
          <w:szCs w:val="24"/>
        </w:rPr>
      </w:pPr>
      <w:r w:rsidRPr="00BA049F">
        <w:rPr>
          <w:sz w:val="24"/>
          <w:szCs w:val="24"/>
        </w:rPr>
        <w:t>As emissões indiretas do consumo de eletricidade por veículos ferroviários e rodoviários também estão incluídas na Figura 2; no entanto, as emissões são quase pequenas demais para serem vistas.</w:t>
      </w:r>
      <w:r w:rsidRPr="00BA049F">
        <w:rPr>
          <w:noProof/>
          <w:sz w:val="24"/>
          <w:szCs w:val="24"/>
        </w:rPr>
        <w:t xml:space="preserve"> </w:t>
      </w:r>
    </w:p>
    <w:p w14:paraId="0679FAA5" w14:textId="65823928" w:rsidR="00BA049F" w:rsidRDefault="00BA049F" w:rsidP="00BA049F">
      <w:pPr>
        <w:spacing w:after="240"/>
        <w:jc w:val="both"/>
        <w:rPr>
          <w:noProof/>
          <w:sz w:val="24"/>
          <w:szCs w:val="24"/>
        </w:rPr>
      </w:pPr>
      <w:r>
        <w:rPr>
          <w:noProof/>
        </w:rPr>
        <w:lastRenderedPageBreak/>
        <w:drawing>
          <wp:inline distT="0" distB="0" distL="0" distR="0" wp14:anchorId="4FD79204" wp14:editId="7F8AF86D">
            <wp:extent cx="5731510" cy="3458210"/>
            <wp:effectExtent l="0" t="0" r="8890" b="8890"/>
            <wp:docPr id="5" name="Chart 5">
              <a:extLst xmlns:a="http://schemas.openxmlformats.org/drawingml/2006/main">
                <a:ext uri="{FF2B5EF4-FFF2-40B4-BE49-F238E27FC236}">
                  <a16:creationId xmlns:a16="http://schemas.microsoft.com/office/drawing/2014/main" id="{DF2B83FF-30A0-43E3-B727-0CEEFD0137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8EA7331" w14:textId="3E675153" w:rsidR="00A60EF6" w:rsidRDefault="00C1325C" w:rsidP="00BA049F">
      <w:pPr>
        <w:spacing w:after="240"/>
        <w:jc w:val="both"/>
        <w:rPr>
          <w:rFonts w:ascii="Arial" w:eastAsia="Arial" w:hAnsi="Arial" w:cs="Arial"/>
          <w:color w:val="000000"/>
        </w:rPr>
      </w:pPr>
      <w:r>
        <w:rPr>
          <w:rFonts w:ascii="Arial" w:eastAsia="Arial" w:hAnsi="Arial" w:cs="Arial"/>
          <w:b/>
          <w:sz w:val="22"/>
          <w:szCs w:val="22"/>
        </w:rPr>
        <w:t xml:space="preserve">Figura </w:t>
      </w:r>
      <w:r w:rsidR="00BA049F">
        <w:rPr>
          <w:rFonts w:ascii="Arial" w:eastAsia="Arial" w:hAnsi="Arial" w:cs="Arial"/>
          <w:b/>
          <w:sz w:val="22"/>
          <w:szCs w:val="22"/>
        </w:rPr>
        <w:t>4</w:t>
      </w:r>
      <w:r>
        <w:rPr>
          <w:rFonts w:ascii="Arial" w:eastAsia="Arial" w:hAnsi="Arial" w:cs="Arial"/>
          <w:b/>
          <w:sz w:val="22"/>
          <w:szCs w:val="22"/>
        </w:rPr>
        <w:t>. Linha de base de emissões de GEE do setor de transporte</w:t>
      </w:r>
      <w:r>
        <w:rPr>
          <w:rFonts w:ascii="Arial" w:eastAsia="Arial" w:hAnsi="Arial" w:cs="Arial"/>
          <w:sz w:val="22"/>
          <w:szCs w:val="22"/>
        </w:rPr>
        <w:t xml:space="preserve">. </w:t>
      </w:r>
    </w:p>
    <w:p w14:paraId="1551EC21" w14:textId="77777777" w:rsidR="00A60EF6" w:rsidRDefault="00A60EF6" w:rsidP="00FC6224">
      <w:pPr>
        <w:pBdr>
          <w:top w:val="nil"/>
          <w:left w:val="nil"/>
          <w:bottom w:val="nil"/>
          <w:right w:val="nil"/>
          <w:between w:val="nil"/>
        </w:pBdr>
        <w:spacing w:before="120" w:after="0" w:line="240" w:lineRule="auto"/>
        <w:jc w:val="both"/>
        <w:rPr>
          <w:rFonts w:ascii="Times New Roman" w:eastAsia="Times New Roman" w:hAnsi="Times New Roman" w:cs="Times New Roman"/>
          <w:color w:val="000000"/>
          <w:sz w:val="22"/>
          <w:szCs w:val="22"/>
        </w:rPr>
      </w:pPr>
    </w:p>
    <w:sectPr w:rsidR="00A60EF6">
      <w:footerReference w:type="default" r:id="rId12"/>
      <w:pgSz w:w="11906" w:h="16838"/>
      <w:pgMar w:top="1985" w:right="1440" w:bottom="1440" w:left="1440" w:header="709" w:footer="238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1508F" w14:textId="77777777" w:rsidR="00BF2E85" w:rsidRDefault="00BF2E85">
      <w:pPr>
        <w:spacing w:after="0" w:line="240" w:lineRule="auto"/>
      </w:pPr>
      <w:r>
        <w:separator/>
      </w:r>
    </w:p>
  </w:endnote>
  <w:endnote w:type="continuationSeparator" w:id="0">
    <w:p w14:paraId="2A498DBB" w14:textId="77777777" w:rsidR="00BF2E85" w:rsidRDefault="00BF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96767" w14:textId="77777777" w:rsidR="00A60EF6" w:rsidRDefault="00C1325C">
    <w:pPr>
      <w:pBdr>
        <w:top w:val="nil"/>
        <w:left w:val="nil"/>
        <w:bottom w:val="nil"/>
        <w:right w:val="nil"/>
        <w:between w:val="nil"/>
      </w:pBdr>
      <w:tabs>
        <w:tab w:val="center" w:pos="4513"/>
        <w:tab w:val="right" w:pos="9026"/>
      </w:tabs>
      <w:spacing w:after="0" w:line="240" w:lineRule="auto"/>
      <w:rPr>
        <w:color w:val="000000"/>
        <w:sz w:val="18"/>
        <w:szCs w:val="18"/>
      </w:rPr>
    </w:pPr>
    <w:r>
      <w:rPr>
        <w:noProof/>
        <w:lang w:val="en-US"/>
      </w:rPr>
      <w:drawing>
        <wp:anchor distT="0" distB="0" distL="114300" distR="114300" simplePos="0" relativeHeight="251658240" behindDoc="0" locked="0" layoutInCell="1" hidden="0" allowOverlap="1" wp14:anchorId="20B11B66" wp14:editId="4574D978">
          <wp:simplePos x="0" y="0"/>
          <wp:positionH relativeFrom="column">
            <wp:posOffset>3</wp:posOffset>
          </wp:positionH>
          <wp:positionV relativeFrom="paragraph">
            <wp:posOffset>0</wp:posOffset>
          </wp:positionV>
          <wp:extent cx="5731510" cy="2078355"/>
          <wp:effectExtent l="0" t="0" r="0" b="0"/>
          <wp:wrapSquare wrapText="bothSides" distT="0" distB="0" distL="114300" distR="114300"/>
          <wp:docPr id="1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t="10935"/>
                  <a:stretch>
                    <a:fillRect/>
                  </a:stretch>
                </pic:blipFill>
                <pic:spPr>
                  <a:xfrm>
                    <a:off x="0" y="0"/>
                    <a:ext cx="5731510" cy="2078355"/>
                  </a:xfrm>
                  <a:prstGeom prst="rect">
                    <a:avLst/>
                  </a:prstGeom>
                  <a:ln/>
                </pic:spPr>
              </pic:pic>
            </a:graphicData>
          </a:graphic>
        </wp:anchor>
      </w:drawing>
    </w:r>
  </w:p>
  <w:p w14:paraId="6360AC50" w14:textId="77777777" w:rsidR="00A60EF6" w:rsidRDefault="00A60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A94702" w14:textId="77777777" w:rsidR="00BF2E85" w:rsidRDefault="00BF2E85">
      <w:pPr>
        <w:spacing w:after="0" w:line="240" w:lineRule="auto"/>
      </w:pPr>
      <w:r>
        <w:separator/>
      </w:r>
    </w:p>
  </w:footnote>
  <w:footnote w:type="continuationSeparator" w:id="0">
    <w:p w14:paraId="18D23778" w14:textId="77777777" w:rsidR="00BF2E85" w:rsidRDefault="00BF2E85">
      <w:pPr>
        <w:spacing w:after="0" w:line="240" w:lineRule="auto"/>
      </w:pPr>
      <w:r>
        <w:continuationSeparator/>
      </w:r>
    </w:p>
  </w:footnote>
  <w:footnote w:id="1">
    <w:p w14:paraId="21B1EB69" w14:textId="330F4EAF" w:rsidR="000340D9" w:rsidRPr="000340D9" w:rsidRDefault="000340D9">
      <w:pPr>
        <w:pStyle w:val="FootnoteText"/>
        <w:rPr>
          <w:lang w:val="en-US"/>
        </w:rPr>
      </w:pPr>
      <w:r>
        <w:rPr>
          <w:rStyle w:val="FootnoteReference"/>
        </w:rPr>
        <w:footnoteRef/>
      </w:r>
      <w:r>
        <w:t xml:space="preserve"> </w:t>
      </w:r>
      <w:r w:rsidRPr="00080D93">
        <w:rPr>
          <w:sz w:val="20"/>
          <w:szCs w:val="20"/>
        </w:rPr>
        <w:t xml:space="preserve">Balanço Energético do Estado de São Paulo, 2019, </w:t>
      </w:r>
      <w:hyperlink r:id="rId1" w:history="1">
        <w:r w:rsidRPr="00080D93">
          <w:rPr>
            <w:rStyle w:val="Hyperlink"/>
            <w:rFonts w:eastAsia="Times New Roman"/>
            <w:sz w:val="20"/>
            <w:szCs w:val="20"/>
          </w:rPr>
          <w:t>http://dadosenergeticos.energia.sp.gov.br/portalcev2/intranet/BiblioVirtual/diversos/BalancoEnergetico.pdf</w:t>
        </w:r>
      </w:hyperlink>
      <w:r w:rsidRPr="00080D93">
        <w:rPr>
          <w:rFonts w:eastAsia="Times New Roman"/>
          <w:sz w:val="20"/>
          <w:szCs w:val="20"/>
        </w:rPr>
        <w:t>.</w:t>
      </w:r>
    </w:p>
  </w:footnote>
  <w:footnote w:id="2">
    <w:p w14:paraId="3A9256A3" w14:textId="0A0CE67F" w:rsidR="000340D9" w:rsidRPr="00BA049F" w:rsidRDefault="000340D9">
      <w:pPr>
        <w:pStyle w:val="FootnoteText"/>
      </w:pPr>
      <w:r>
        <w:rPr>
          <w:rStyle w:val="FootnoteReference"/>
        </w:rPr>
        <w:footnoteRef/>
      </w:r>
      <w:r>
        <w:t xml:space="preserve"> </w:t>
      </w:r>
      <w:r w:rsidRPr="00080D93">
        <w:rPr>
          <w:sz w:val="20"/>
          <w:szCs w:val="20"/>
        </w:rPr>
        <w:t xml:space="preserve">A Figura 6 deste </w:t>
      </w:r>
      <w:r w:rsidRPr="00BA049F">
        <w:rPr>
          <w:sz w:val="20"/>
          <w:szCs w:val="20"/>
        </w:rPr>
        <w:t>estudo mostra os padrões regulamentares de combustível para veículos leves no México e em outros países: (</w:t>
      </w:r>
      <w:hyperlink r:id="rId2" w:history="1">
        <w:r w:rsidRPr="00BA049F">
          <w:rPr>
            <w:rStyle w:val="Hyperlink"/>
            <w:sz w:val="20"/>
            <w:szCs w:val="20"/>
          </w:rPr>
          <w:t>https://theicct.org/sites/default/files/publications/EU-LCV-CO2-2030_ICCTupdate_201901.pdf</w:t>
        </w:r>
      </w:hyperlink>
      <w:r w:rsidRPr="00BA049F">
        <w:rPr>
          <w:sz w:val="20"/>
          <w:szCs w:val="20"/>
        </w:rPr>
        <w:t>). A taxa de melhoria anual foi calculada por 20 anos e deve ser representativa de toda a frota.</w:t>
      </w:r>
    </w:p>
  </w:footnote>
  <w:footnote w:id="3">
    <w:p w14:paraId="39C06FBB" w14:textId="19A6ED51" w:rsidR="000340D9" w:rsidRPr="00BA049F" w:rsidRDefault="000340D9">
      <w:pPr>
        <w:pStyle w:val="FootnoteText"/>
      </w:pPr>
      <w:r w:rsidRPr="00BA049F">
        <w:rPr>
          <w:rStyle w:val="FootnoteReference"/>
        </w:rPr>
        <w:footnoteRef/>
      </w:r>
      <w:r w:rsidRPr="00BA049F">
        <w:t xml:space="preserve"> </w:t>
      </w:r>
      <w:r w:rsidRPr="00BA049F">
        <w:rPr>
          <w:sz w:val="20"/>
          <w:szCs w:val="20"/>
        </w:rPr>
        <w:t>IEA, Global EV Outlook, 2019: (</w:t>
      </w:r>
      <w:hyperlink r:id="rId3" w:history="1">
        <w:r w:rsidRPr="00BA049F">
          <w:rPr>
            <w:rStyle w:val="Hyperlink"/>
            <w:sz w:val="20"/>
            <w:szCs w:val="20"/>
          </w:rPr>
          <w:t>https://theicct.org/sites/default/files/publications/EU-LCV-CO2-2030_ICCTupdate_201901.pdf</w:t>
        </w:r>
      </w:hyperlink>
      <w:r w:rsidRPr="00BA049F">
        <w:rPr>
          <w:sz w:val="20"/>
          <w:szCs w:val="20"/>
        </w:rPr>
        <w:t>).</w:t>
      </w:r>
    </w:p>
  </w:footnote>
  <w:footnote w:id="4">
    <w:p w14:paraId="0B03A551" w14:textId="45588A83" w:rsidR="00BA049F" w:rsidRPr="00BA049F" w:rsidRDefault="00BA049F">
      <w:pPr>
        <w:pStyle w:val="FootnoteText"/>
        <w:rPr>
          <w:sz w:val="20"/>
          <w:szCs w:val="20"/>
        </w:rPr>
      </w:pPr>
      <w:r w:rsidRPr="00BA049F">
        <w:rPr>
          <w:rStyle w:val="FootnoteReference"/>
          <w:sz w:val="20"/>
          <w:szCs w:val="20"/>
        </w:rPr>
        <w:footnoteRef/>
      </w:r>
      <w:r w:rsidRPr="00BA049F">
        <w:rPr>
          <w:sz w:val="20"/>
          <w:szCs w:val="20"/>
        </w:rPr>
        <w:t xml:space="preserve"> </w:t>
      </w:r>
      <w:r w:rsidRPr="00BA049F">
        <w:rPr>
          <w:sz w:val="20"/>
          <w:szCs w:val="20"/>
        </w:rPr>
        <w:t xml:space="preserve">Todos esses tipos de melhorias para o setor de veículos rodoviários começam com uma divisão mais detalhada do uso de combustível (ou atividade) por tipo de veículo. Por exemplo, os veículos a gasolina podem ser divididos primeiro pelo uso de combustível de veículos de passageiros versus carga. Em seguida, os subsetores de gasolina podem ser divididos em subcategorias, tais como: carros leves particulares, caminhões leves particulares, caminhões médios, caminhões pesados, etc. Normalmente, encontra-se este nível de detalhe na escala municipal para análise de suporte da qualidade do ar. Se esses dados não estiverem disponíveis para São Paulo, será necessário trabalhar para montar esse banco de dados. Também deve ser observado que não temos qualquer intervalo para combustíveis consumidos em pequenos motores não rodoviários (por exemplo, gramado e equipamento de jardim, outro equipamento portátil). </w:t>
      </w:r>
      <w:proofErr w:type="spellStart"/>
      <w:r w:rsidRPr="00BA049F">
        <w:rPr>
          <w:sz w:val="20"/>
          <w:szCs w:val="20"/>
        </w:rPr>
        <w:t>Freqüentemente</w:t>
      </w:r>
      <w:proofErr w:type="spellEnd"/>
      <w:r w:rsidRPr="00BA049F">
        <w:rPr>
          <w:sz w:val="20"/>
          <w:szCs w:val="20"/>
        </w:rPr>
        <w:t>, eles são agregados aos dados dos veículos rodoviários, porque seu ponto de entrada no mercado é o mesmo local (postos de combustível no varejo).</w:t>
      </w:r>
    </w:p>
  </w:footnote>
  <w:footnote w:id="5">
    <w:p w14:paraId="35B1DA98" w14:textId="0ED8B063" w:rsidR="00BA049F" w:rsidRPr="00BA049F" w:rsidRDefault="00BA049F">
      <w:pPr>
        <w:pStyle w:val="FootnoteText"/>
      </w:pPr>
      <w:r w:rsidRPr="00BA049F">
        <w:rPr>
          <w:rStyle w:val="FootnoteReference"/>
          <w:sz w:val="20"/>
          <w:szCs w:val="20"/>
        </w:rPr>
        <w:footnoteRef/>
      </w:r>
      <w:r w:rsidRPr="00BA049F">
        <w:rPr>
          <w:sz w:val="20"/>
          <w:szCs w:val="20"/>
        </w:rPr>
        <w:t xml:space="preserve"> </w:t>
      </w:r>
      <w:r w:rsidRPr="00BA049F">
        <w:rPr>
          <w:sz w:val="20"/>
          <w:szCs w:val="20"/>
        </w:rPr>
        <w:t xml:space="preserve">2006 IPCC </w:t>
      </w:r>
      <w:proofErr w:type="spellStart"/>
      <w:r w:rsidRPr="00BA049F">
        <w:rPr>
          <w:sz w:val="20"/>
          <w:szCs w:val="20"/>
        </w:rPr>
        <w:t>Guidelines</w:t>
      </w:r>
      <w:proofErr w:type="spellEnd"/>
      <w:r w:rsidRPr="00BA049F">
        <w:rPr>
          <w:sz w:val="20"/>
          <w:szCs w:val="20"/>
        </w:rPr>
        <w:t xml:space="preserve">; volume 2. Energy; </w:t>
      </w:r>
      <w:hyperlink r:id="rId4" w:history="1">
        <w:r w:rsidRPr="00BA049F">
          <w:rPr>
            <w:rStyle w:val="Hyperlink"/>
            <w:sz w:val="20"/>
            <w:szCs w:val="20"/>
          </w:rPr>
          <w:t>https://www.ipcc-nggip.iges.or.jp/public/2006gl/vol2.html</w:t>
        </w:r>
      </w:hyperlink>
      <w:r w:rsidRPr="00BA049F">
        <w:rPr>
          <w:sz w:val="20"/>
          <w:szCs w:val="20"/>
        </w:rPr>
        <w:t>. Nota consistente com os refinamentos do IPCC de 2019 para relatórios nacionais, as emissões de CO2 para combustão de biomassa são excluídas aqui, uma vez que são relatadas como perdas de carbono na agricultura, silvicultura e outros setores de uso da terra:</w:t>
      </w:r>
    </w:p>
  </w:footnote>
  <w:footnote w:id="6">
    <w:p w14:paraId="66308E25" w14:textId="67707D90" w:rsidR="00BA049F" w:rsidRPr="00BA049F" w:rsidRDefault="00BA049F">
      <w:pPr>
        <w:pStyle w:val="FootnoteText"/>
        <w:rPr>
          <w:lang w:val="en-US"/>
        </w:rPr>
      </w:pPr>
      <w:r w:rsidRPr="00BA049F">
        <w:rPr>
          <w:rStyle w:val="FootnoteReference"/>
        </w:rPr>
        <w:footnoteRef/>
      </w:r>
      <w:r w:rsidRPr="00BA049F">
        <w:t xml:space="preserve"> </w:t>
      </w:r>
      <w:r w:rsidRPr="00BA049F">
        <w:rPr>
          <w:sz w:val="20"/>
          <w:szCs w:val="20"/>
        </w:rPr>
        <w:t xml:space="preserve">Estes são os </w:t>
      </w:r>
      <w:proofErr w:type="spellStart"/>
      <w:r w:rsidRPr="00BA049F">
        <w:rPr>
          <w:sz w:val="20"/>
          <w:szCs w:val="20"/>
        </w:rPr>
        <w:t>GWPs</w:t>
      </w:r>
      <w:proofErr w:type="spellEnd"/>
      <w:r w:rsidRPr="00BA049F">
        <w:rPr>
          <w:sz w:val="20"/>
          <w:szCs w:val="20"/>
        </w:rPr>
        <w:t xml:space="preserve"> de 100 anos mostrados na Tabela 8.7 em</w:t>
      </w:r>
      <w:r w:rsidRPr="00BA049F">
        <w:rPr>
          <w:sz w:val="20"/>
          <w:szCs w:val="20"/>
        </w:rPr>
        <w:t xml:space="preserve"> </w:t>
      </w:r>
      <w:hyperlink r:id="rId5" w:history="1">
        <w:r w:rsidRPr="00BA049F">
          <w:rPr>
            <w:rStyle w:val="Hyperlink"/>
            <w:sz w:val="20"/>
            <w:szCs w:val="20"/>
          </w:rPr>
          <w:t>https://ar5-syr.ipcc.ch/resources/htmlpdf/WG1AR5_Chapter08_FINAL/</w:t>
        </w:r>
      </w:hyperlink>
      <w:r w:rsidRPr="00BA049F">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97EF1"/>
    <w:multiLevelType w:val="multilevel"/>
    <w:tmpl w:val="8B90BA86"/>
    <w:lvl w:ilvl="0">
      <w:start w:val="1"/>
      <w:numFmt w:val="decimal"/>
      <w:pStyle w:val="Bulletpoin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D2C28FD"/>
    <w:multiLevelType w:val="hybridMultilevel"/>
    <w:tmpl w:val="7C041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EF6"/>
    <w:rsid w:val="000340D9"/>
    <w:rsid w:val="00145A14"/>
    <w:rsid w:val="001916DC"/>
    <w:rsid w:val="00193343"/>
    <w:rsid w:val="001A1BE6"/>
    <w:rsid w:val="00204DC0"/>
    <w:rsid w:val="00231C46"/>
    <w:rsid w:val="00250958"/>
    <w:rsid w:val="0027412E"/>
    <w:rsid w:val="00301DAF"/>
    <w:rsid w:val="00314E59"/>
    <w:rsid w:val="003C1327"/>
    <w:rsid w:val="003F32FB"/>
    <w:rsid w:val="003F76C3"/>
    <w:rsid w:val="00491FC4"/>
    <w:rsid w:val="004B3825"/>
    <w:rsid w:val="005028DE"/>
    <w:rsid w:val="0052316F"/>
    <w:rsid w:val="005932BC"/>
    <w:rsid w:val="005C46F8"/>
    <w:rsid w:val="0063483A"/>
    <w:rsid w:val="006F09A2"/>
    <w:rsid w:val="006F2973"/>
    <w:rsid w:val="007F0EFE"/>
    <w:rsid w:val="00816EA0"/>
    <w:rsid w:val="00842918"/>
    <w:rsid w:val="008575EA"/>
    <w:rsid w:val="008672AE"/>
    <w:rsid w:val="0091105E"/>
    <w:rsid w:val="00941DD4"/>
    <w:rsid w:val="00993BFB"/>
    <w:rsid w:val="00A34E2D"/>
    <w:rsid w:val="00A47620"/>
    <w:rsid w:val="00A60EF6"/>
    <w:rsid w:val="00A63C9D"/>
    <w:rsid w:val="00A73F69"/>
    <w:rsid w:val="00AE1863"/>
    <w:rsid w:val="00BA049F"/>
    <w:rsid w:val="00BA4346"/>
    <w:rsid w:val="00BF2E85"/>
    <w:rsid w:val="00BF5B57"/>
    <w:rsid w:val="00C06D05"/>
    <w:rsid w:val="00C11381"/>
    <w:rsid w:val="00C1325C"/>
    <w:rsid w:val="00C657B5"/>
    <w:rsid w:val="00C8436B"/>
    <w:rsid w:val="00CA439D"/>
    <w:rsid w:val="00D43855"/>
    <w:rsid w:val="00DB250A"/>
    <w:rsid w:val="00DB3EB5"/>
    <w:rsid w:val="00DE4440"/>
    <w:rsid w:val="00E64B5B"/>
    <w:rsid w:val="00E93CD2"/>
    <w:rsid w:val="00F21287"/>
    <w:rsid w:val="00F53EF2"/>
    <w:rsid w:val="00FC45B6"/>
    <w:rsid w:val="00FC6224"/>
    <w:rsid w:val="00FE4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7E5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2B47B6"/>
    <w:rPr>
      <w:rFonts w:eastAsiaTheme="minorHAnsi"/>
    </w:rPr>
  </w:style>
  <w:style w:type="paragraph" w:styleId="Heading1">
    <w:name w:val="heading 1"/>
    <w:basedOn w:val="Normal"/>
    <w:next w:val="Normal"/>
    <w:link w:val="Heading1Char"/>
    <w:uiPriority w:val="9"/>
    <w:qFormat/>
    <w:rsid w:val="00CD7A0A"/>
    <w:pPr>
      <w:pBdr>
        <w:bottom w:val="single" w:sz="6" w:space="1" w:color="auto"/>
      </w:pBdr>
      <w:outlineLvl w:val="0"/>
    </w:pPr>
    <w:rPr>
      <w:b/>
      <w:color w:val="FF0000"/>
      <w:sz w:val="32"/>
      <w:szCs w:val="32"/>
    </w:rPr>
  </w:style>
  <w:style w:type="paragraph" w:styleId="Heading2">
    <w:name w:val="heading 2"/>
    <w:basedOn w:val="Normal"/>
    <w:next w:val="Normal"/>
    <w:link w:val="Heading2Char"/>
    <w:uiPriority w:val="9"/>
    <w:unhideWhenUsed/>
    <w:qFormat/>
    <w:rsid w:val="00CD7A0A"/>
    <w:pPr>
      <w:outlineLvl w:val="1"/>
    </w:pPr>
    <w:rPr>
      <w:b/>
      <w:color w:val="FF0000"/>
      <w:sz w:val="24"/>
      <w:szCs w:val="24"/>
    </w:rPr>
  </w:style>
  <w:style w:type="paragraph" w:styleId="Heading3">
    <w:name w:val="heading 3"/>
    <w:basedOn w:val="Normal"/>
    <w:next w:val="Normal"/>
    <w:link w:val="Heading3Char"/>
    <w:uiPriority w:val="9"/>
    <w:unhideWhenUsed/>
    <w:qFormat/>
    <w:rsid w:val="00CD7A0A"/>
    <w:pPr>
      <w:outlineLvl w:val="2"/>
    </w:pPr>
    <w:rPr>
      <w:b/>
    </w:rPr>
  </w:style>
  <w:style w:type="paragraph" w:styleId="Heading4">
    <w:name w:val="heading 4"/>
    <w:basedOn w:val="Normal"/>
    <w:next w:val="Normal"/>
    <w:link w:val="Heading4Char"/>
    <w:uiPriority w:val="9"/>
    <w:unhideWhenUsed/>
    <w:qFormat/>
    <w:rsid w:val="003B009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7A0A"/>
    <w:rPr>
      <w:b/>
      <w:iCs/>
      <w:color w:val="FF001E"/>
      <w:sz w:val="44"/>
      <w:lang w:eastAsia="en-GB"/>
    </w:rPr>
  </w:style>
  <w:style w:type="paragraph" w:styleId="Header">
    <w:name w:val="header"/>
    <w:basedOn w:val="Normal"/>
    <w:link w:val="HeaderChar"/>
    <w:uiPriority w:val="99"/>
    <w:unhideWhenUsed/>
    <w:rsid w:val="00CD7A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7A0A"/>
    <w:rPr>
      <w:rFonts w:eastAsiaTheme="minorHAnsi"/>
      <w:sz w:val="20"/>
      <w:szCs w:val="20"/>
      <w:lang w:eastAsia="en-US"/>
    </w:rPr>
  </w:style>
  <w:style w:type="paragraph" w:styleId="Footer">
    <w:name w:val="footer"/>
    <w:basedOn w:val="Normal"/>
    <w:link w:val="FooterChar"/>
    <w:uiPriority w:val="99"/>
    <w:unhideWhenUsed/>
    <w:rsid w:val="00CD7A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7A0A"/>
    <w:rPr>
      <w:rFonts w:eastAsiaTheme="minorHAnsi"/>
      <w:sz w:val="20"/>
      <w:szCs w:val="20"/>
      <w:lang w:eastAsia="en-US"/>
    </w:rPr>
  </w:style>
  <w:style w:type="paragraph" w:styleId="FootnoteText">
    <w:name w:val="footnote text"/>
    <w:aliases w:val=" Char, Char2"/>
    <w:basedOn w:val="Normal"/>
    <w:link w:val="FootnoteTextChar"/>
    <w:uiPriority w:val="99"/>
    <w:unhideWhenUsed/>
    <w:qFormat/>
    <w:rsid w:val="00CD7A0A"/>
    <w:pPr>
      <w:spacing w:after="0" w:line="240" w:lineRule="auto"/>
    </w:pPr>
    <w:rPr>
      <w:sz w:val="16"/>
      <w:szCs w:val="24"/>
    </w:rPr>
  </w:style>
  <w:style w:type="character" w:customStyle="1" w:styleId="FootnoteTextChar">
    <w:name w:val="Footnote Text Char"/>
    <w:aliases w:val=" Char Char, Char2 Char"/>
    <w:basedOn w:val="DefaultParagraphFont"/>
    <w:link w:val="FootnoteText"/>
    <w:uiPriority w:val="99"/>
    <w:rsid w:val="00CD7A0A"/>
    <w:rPr>
      <w:rFonts w:eastAsiaTheme="minorHAnsi"/>
      <w:sz w:val="16"/>
      <w:szCs w:val="24"/>
      <w:lang w:eastAsia="en-US"/>
    </w:rPr>
  </w:style>
  <w:style w:type="character" w:styleId="FootnoteReference">
    <w:name w:val="footnote reference"/>
    <w:aliases w:val="EN Footnote Reference,~L Footnote,fr,R&amp;A Footnote Reference"/>
    <w:basedOn w:val="DefaultParagraphFont"/>
    <w:uiPriority w:val="99"/>
    <w:unhideWhenUsed/>
    <w:rsid w:val="00CD7A0A"/>
    <w:rPr>
      <w:vertAlign w:val="superscript"/>
    </w:rPr>
  </w:style>
  <w:style w:type="table" w:styleId="GridTable4">
    <w:name w:val="Grid Table 4"/>
    <w:basedOn w:val="TableNormal"/>
    <w:uiPriority w:val="49"/>
    <w:rsid w:val="00CD7A0A"/>
    <w:pPr>
      <w:spacing w:after="0" w:line="240" w:lineRule="auto"/>
    </w:pPr>
    <w:rPr>
      <w:rFonts w:eastAsia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CD7A0A"/>
    <w:pPr>
      <w:spacing w:after="0" w:line="240" w:lineRule="auto"/>
    </w:pPr>
    <w:rPr>
      <w:rFonts w:eastAsiaTheme="minorHAns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CD7A0A"/>
    <w:rPr>
      <w:sz w:val="16"/>
      <w:szCs w:val="16"/>
    </w:rPr>
  </w:style>
  <w:style w:type="paragraph" w:styleId="CommentText">
    <w:name w:val="annotation text"/>
    <w:basedOn w:val="Normal"/>
    <w:link w:val="CommentTextChar"/>
    <w:uiPriority w:val="99"/>
    <w:unhideWhenUsed/>
    <w:rsid w:val="00CD7A0A"/>
    <w:pPr>
      <w:spacing w:line="240" w:lineRule="auto"/>
    </w:pPr>
  </w:style>
  <w:style w:type="character" w:customStyle="1" w:styleId="CommentTextChar">
    <w:name w:val="Comment Text Char"/>
    <w:basedOn w:val="DefaultParagraphFont"/>
    <w:link w:val="CommentText"/>
    <w:uiPriority w:val="99"/>
    <w:rsid w:val="00CD7A0A"/>
    <w:rPr>
      <w:rFonts w:eastAsiaTheme="minorHAnsi"/>
      <w:sz w:val="20"/>
      <w:szCs w:val="20"/>
      <w:lang w:eastAsia="en-US"/>
    </w:rPr>
  </w:style>
  <w:style w:type="paragraph" w:styleId="BalloonText">
    <w:name w:val="Balloon Text"/>
    <w:basedOn w:val="Normal"/>
    <w:link w:val="BalloonTextChar"/>
    <w:uiPriority w:val="99"/>
    <w:semiHidden/>
    <w:unhideWhenUsed/>
    <w:rsid w:val="00CD7A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A0A"/>
    <w:rPr>
      <w:rFonts w:ascii="Segoe UI" w:eastAsiaTheme="minorHAnsi" w:hAnsi="Segoe UI" w:cs="Segoe UI"/>
      <w:sz w:val="18"/>
      <w:szCs w:val="18"/>
      <w:lang w:eastAsia="en-US"/>
    </w:rPr>
  </w:style>
  <w:style w:type="character" w:customStyle="1" w:styleId="TitleChar">
    <w:name w:val="Title Char"/>
    <w:basedOn w:val="DefaultParagraphFont"/>
    <w:link w:val="Title"/>
    <w:uiPriority w:val="10"/>
    <w:rsid w:val="00CD7A0A"/>
    <w:rPr>
      <w:rFonts w:eastAsiaTheme="minorHAnsi"/>
      <w:b/>
      <w:iCs/>
      <w:color w:val="FF001E"/>
      <w:sz w:val="44"/>
      <w:szCs w:val="20"/>
      <w:lang w:eastAsia="en-GB"/>
    </w:rPr>
  </w:style>
  <w:style w:type="paragraph" w:styleId="Subtitle">
    <w:name w:val="Subtitle"/>
    <w:basedOn w:val="Normal"/>
    <w:next w:val="Normal"/>
    <w:link w:val="SubtitleChar"/>
    <w:pPr>
      <w:spacing w:after="0" w:line="240" w:lineRule="auto"/>
      <w:ind w:right="-58"/>
    </w:pPr>
    <w:rPr>
      <w:b/>
      <w:sz w:val="22"/>
      <w:szCs w:val="22"/>
    </w:rPr>
  </w:style>
  <w:style w:type="character" w:customStyle="1" w:styleId="SubtitleChar">
    <w:name w:val="Subtitle Char"/>
    <w:basedOn w:val="DefaultParagraphFont"/>
    <w:link w:val="Subtitle"/>
    <w:uiPriority w:val="11"/>
    <w:rsid w:val="00CD7A0A"/>
    <w:rPr>
      <w:rFonts w:eastAsiaTheme="minorHAnsi"/>
      <w:b/>
      <w:bCs/>
      <w:lang w:eastAsia="en-US"/>
    </w:rPr>
  </w:style>
  <w:style w:type="character" w:customStyle="1" w:styleId="Heading1Char">
    <w:name w:val="Heading 1 Char"/>
    <w:basedOn w:val="DefaultParagraphFont"/>
    <w:link w:val="Heading1"/>
    <w:uiPriority w:val="9"/>
    <w:rsid w:val="00CD7A0A"/>
    <w:rPr>
      <w:rFonts w:eastAsiaTheme="minorHAnsi"/>
      <w:b/>
      <w:color w:val="FF0000"/>
      <w:sz w:val="32"/>
      <w:szCs w:val="32"/>
      <w:lang w:eastAsia="en-US"/>
    </w:rPr>
  </w:style>
  <w:style w:type="character" w:customStyle="1" w:styleId="Heading2Char">
    <w:name w:val="Heading 2 Char"/>
    <w:basedOn w:val="DefaultParagraphFont"/>
    <w:link w:val="Heading2"/>
    <w:uiPriority w:val="9"/>
    <w:rsid w:val="00CD7A0A"/>
    <w:rPr>
      <w:rFonts w:eastAsiaTheme="minorHAnsi"/>
      <w:b/>
      <w:color w:val="FF0000"/>
      <w:sz w:val="24"/>
      <w:szCs w:val="24"/>
      <w:lang w:eastAsia="en-US"/>
    </w:rPr>
  </w:style>
  <w:style w:type="character" w:customStyle="1" w:styleId="Heading3Char">
    <w:name w:val="Heading 3 Char"/>
    <w:basedOn w:val="DefaultParagraphFont"/>
    <w:link w:val="Heading3"/>
    <w:uiPriority w:val="9"/>
    <w:rsid w:val="00CD7A0A"/>
    <w:rPr>
      <w:rFonts w:eastAsiaTheme="minorHAnsi"/>
      <w:b/>
      <w:sz w:val="20"/>
      <w:szCs w:val="20"/>
      <w:lang w:eastAsia="en-US"/>
    </w:rPr>
  </w:style>
  <w:style w:type="paragraph" w:styleId="ListParagraph">
    <w:name w:val="List Paragraph"/>
    <w:basedOn w:val="Normal"/>
    <w:uiPriority w:val="34"/>
    <w:qFormat/>
    <w:rsid w:val="00CD7A0A"/>
    <w:pPr>
      <w:ind w:left="720"/>
      <w:contextualSpacing/>
    </w:pPr>
  </w:style>
  <w:style w:type="paragraph" w:customStyle="1" w:styleId="Bulletpoint1">
    <w:name w:val="Bullet point 1"/>
    <w:basedOn w:val="ListParagraph"/>
    <w:rsid w:val="00CD7A0A"/>
    <w:pPr>
      <w:numPr>
        <w:numId w:val="1"/>
      </w:numPr>
      <w:ind w:left="426" w:hanging="284"/>
      <w:contextualSpacing w:val="0"/>
    </w:pPr>
  </w:style>
  <w:style w:type="paragraph" w:customStyle="1" w:styleId="Bulletpoint2">
    <w:name w:val="Bullet point 2"/>
    <w:basedOn w:val="ListParagraph"/>
    <w:rsid w:val="00CD7A0A"/>
    <w:pPr>
      <w:tabs>
        <w:tab w:val="num" w:pos="720"/>
      </w:tabs>
      <w:ind w:left="851" w:hanging="218"/>
      <w:contextualSpacing w:val="0"/>
    </w:pPr>
  </w:style>
  <w:style w:type="paragraph" w:customStyle="1" w:styleId="Bulletpoint3">
    <w:name w:val="Bullet point 3"/>
    <w:basedOn w:val="ListParagraph"/>
    <w:rsid w:val="00CD7A0A"/>
    <w:pPr>
      <w:tabs>
        <w:tab w:val="num" w:pos="720"/>
      </w:tabs>
      <w:ind w:left="1276" w:hanging="215"/>
      <w:contextualSpacing w:val="0"/>
    </w:pPr>
  </w:style>
  <w:style w:type="paragraph" w:customStyle="1" w:styleId="Number1">
    <w:name w:val="Number 1"/>
    <w:basedOn w:val="ListParagraph"/>
    <w:qFormat/>
    <w:rsid w:val="002A69FD"/>
    <w:pPr>
      <w:tabs>
        <w:tab w:val="num" w:pos="720"/>
      </w:tabs>
      <w:ind w:left="714" w:hanging="357"/>
      <w:contextualSpacing w:val="0"/>
    </w:pPr>
  </w:style>
  <w:style w:type="paragraph" w:customStyle="1" w:styleId="Number2">
    <w:name w:val="Number 2"/>
    <w:basedOn w:val="Number1"/>
    <w:rsid w:val="002A69FD"/>
    <w:pPr>
      <w:numPr>
        <w:ilvl w:val="1"/>
      </w:numPr>
      <w:tabs>
        <w:tab w:val="num" w:pos="720"/>
      </w:tabs>
      <w:ind w:left="1134" w:hanging="283"/>
    </w:pPr>
  </w:style>
  <w:style w:type="table" w:styleId="TableGrid">
    <w:name w:val="Table Grid"/>
    <w:basedOn w:val="TableNormal"/>
    <w:uiPriority w:val="39"/>
    <w:rsid w:val="002A6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inthetextbox">
    <w:name w:val="Bold in the text box"/>
    <w:basedOn w:val="Normal"/>
    <w:rsid w:val="00C123FE"/>
    <w:pPr>
      <w:snapToGrid w:val="0"/>
      <w:spacing w:line="240" w:lineRule="auto"/>
    </w:pPr>
    <w:rPr>
      <w:b/>
    </w:rPr>
  </w:style>
  <w:style w:type="table" w:customStyle="1" w:styleId="Style1">
    <w:name w:val="Style1"/>
    <w:basedOn w:val="TableNormal"/>
    <w:uiPriority w:val="99"/>
    <w:rsid w:val="004C2E10"/>
    <w:pPr>
      <w:spacing w:after="0" w:line="240" w:lineRule="auto"/>
    </w:pPr>
    <w:tblPr/>
  </w:style>
  <w:style w:type="table" w:customStyle="1" w:styleId="TCGstyle">
    <w:name w:val="TCG style"/>
    <w:basedOn w:val="TableNormal"/>
    <w:uiPriority w:val="99"/>
    <w:rsid w:val="00731763"/>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vAlign w:val="center"/>
    </w:tcPr>
    <w:tblStylePr w:type="firstRow">
      <w:rPr>
        <w:rFonts w:ascii="Calibri" w:hAnsi="Calibri"/>
        <w:b/>
        <w:sz w:val="20"/>
      </w:rPr>
      <w:tblPr/>
      <w:tcPr>
        <w:tcBorders>
          <w:bottom w:val="single" w:sz="12" w:space="0" w:color="auto"/>
        </w:tcBorders>
        <w:shd w:val="clear" w:color="auto" w:fill="FFFFFF" w:themeFill="background1"/>
      </w:tcPr>
    </w:tblStylePr>
    <w:tblStylePr w:type="band1Horz">
      <w:rPr>
        <w:rFonts w:asciiTheme="majorHAnsi" w:hAnsiTheme="majorHAnsi"/>
        <w:color w:val="auto"/>
        <w:sz w:val="20"/>
      </w:rPr>
      <w:tblPr/>
      <w:tcPr>
        <w:shd w:val="clear" w:color="auto" w:fill="F2F2F2" w:themeFill="background1" w:themeFillShade="F2"/>
      </w:tcPr>
    </w:tblStylePr>
    <w:tblStylePr w:type="band2Horz">
      <w:tblPr/>
      <w:tcPr>
        <w:shd w:val="clear" w:color="auto" w:fill="FFFFFF" w:themeFill="background1"/>
      </w:tcPr>
    </w:tblStylePr>
  </w:style>
  <w:style w:type="table" w:styleId="PlainTable5">
    <w:name w:val="Plain Table 5"/>
    <w:basedOn w:val="TableNormal"/>
    <w:uiPriority w:val="45"/>
    <w:rsid w:val="0047355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Heading">
    <w:name w:val="TOC Heading"/>
    <w:basedOn w:val="Heading1"/>
    <w:next w:val="Normal"/>
    <w:uiPriority w:val="39"/>
    <w:unhideWhenUsed/>
    <w:qFormat/>
    <w:rsid w:val="0097627F"/>
    <w:pPr>
      <w:keepNext/>
      <w:keepLines/>
      <w:pBdr>
        <w:bottom w:val="none" w:sz="0" w:space="0" w:color="auto"/>
      </w:pBdr>
      <w:spacing w:before="240" w:after="0"/>
      <w:outlineLvl w:val="9"/>
    </w:pPr>
    <w:rPr>
      <w:rFonts w:asciiTheme="majorHAnsi" w:eastAsiaTheme="majorEastAsia" w:hAnsiTheme="majorHAnsi" w:cstheme="majorBidi"/>
      <w:b w:val="0"/>
      <w:color w:val="2F5496" w:themeColor="accent1" w:themeShade="BF"/>
      <w:lang w:val="en-US"/>
    </w:rPr>
  </w:style>
  <w:style w:type="paragraph" w:styleId="TOC1">
    <w:name w:val="toc 1"/>
    <w:basedOn w:val="Normal"/>
    <w:next w:val="Normal"/>
    <w:autoRedefine/>
    <w:uiPriority w:val="39"/>
    <w:unhideWhenUsed/>
    <w:rsid w:val="0097627F"/>
    <w:pPr>
      <w:spacing w:after="100"/>
    </w:pPr>
  </w:style>
  <w:style w:type="paragraph" w:styleId="TOC2">
    <w:name w:val="toc 2"/>
    <w:basedOn w:val="Normal"/>
    <w:next w:val="Normal"/>
    <w:autoRedefine/>
    <w:uiPriority w:val="39"/>
    <w:unhideWhenUsed/>
    <w:rsid w:val="0097627F"/>
    <w:pPr>
      <w:spacing w:after="100"/>
      <w:ind w:left="200"/>
    </w:pPr>
  </w:style>
  <w:style w:type="paragraph" w:styleId="TOC3">
    <w:name w:val="toc 3"/>
    <w:basedOn w:val="Normal"/>
    <w:next w:val="Normal"/>
    <w:autoRedefine/>
    <w:uiPriority w:val="39"/>
    <w:unhideWhenUsed/>
    <w:rsid w:val="0097627F"/>
    <w:pPr>
      <w:spacing w:after="100"/>
      <w:ind w:left="400"/>
    </w:pPr>
  </w:style>
  <w:style w:type="character" w:styleId="Hyperlink">
    <w:name w:val="Hyperlink"/>
    <w:basedOn w:val="DefaultParagraphFont"/>
    <w:uiPriority w:val="99"/>
    <w:unhideWhenUsed/>
    <w:rsid w:val="0097627F"/>
    <w:rPr>
      <w:color w:val="0563C1" w:themeColor="hyperlink"/>
      <w:u w:val="single"/>
    </w:rPr>
  </w:style>
  <w:style w:type="table" w:styleId="TableGridLight">
    <w:name w:val="Grid Table Light"/>
    <w:basedOn w:val="TableNormal"/>
    <w:uiPriority w:val="40"/>
    <w:rsid w:val="00674C0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Subject">
    <w:name w:val="annotation subject"/>
    <w:basedOn w:val="CommentText"/>
    <w:next w:val="CommentText"/>
    <w:link w:val="CommentSubjectChar"/>
    <w:uiPriority w:val="99"/>
    <w:semiHidden/>
    <w:unhideWhenUsed/>
    <w:rsid w:val="00F50BED"/>
    <w:rPr>
      <w:b/>
      <w:bCs/>
    </w:rPr>
  </w:style>
  <w:style w:type="character" w:customStyle="1" w:styleId="CommentSubjectChar">
    <w:name w:val="Comment Subject Char"/>
    <w:basedOn w:val="CommentTextChar"/>
    <w:link w:val="CommentSubject"/>
    <w:uiPriority w:val="99"/>
    <w:semiHidden/>
    <w:rsid w:val="00F50BED"/>
    <w:rPr>
      <w:rFonts w:eastAsiaTheme="minorHAnsi"/>
      <w:b/>
      <w:bCs/>
      <w:sz w:val="20"/>
      <w:szCs w:val="20"/>
      <w:lang w:eastAsia="en-US"/>
    </w:rPr>
  </w:style>
  <w:style w:type="character" w:customStyle="1" w:styleId="Heading4Char">
    <w:name w:val="Heading 4 Char"/>
    <w:basedOn w:val="DefaultParagraphFont"/>
    <w:link w:val="Heading4"/>
    <w:uiPriority w:val="9"/>
    <w:rsid w:val="003B0095"/>
    <w:rPr>
      <w:rFonts w:asciiTheme="majorHAnsi" w:eastAsiaTheme="majorEastAsia" w:hAnsiTheme="majorHAnsi" w:cstheme="majorBidi"/>
      <w:i/>
      <w:iCs/>
      <w:color w:val="2F5496" w:themeColor="accent1" w:themeShade="BF"/>
      <w:sz w:val="20"/>
      <w:szCs w:val="20"/>
      <w:lang w:eastAsia="en-US"/>
    </w:rPr>
  </w:style>
  <w:style w:type="paragraph" w:styleId="Caption">
    <w:name w:val="caption"/>
    <w:basedOn w:val="Normal"/>
    <w:next w:val="Normal"/>
    <w:uiPriority w:val="35"/>
    <w:unhideWhenUsed/>
    <w:qFormat/>
    <w:rsid w:val="003B0095"/>
    <w:pPr>
      <w:spacing w:after="200" w:line="240" w:lineRule="auto"/>
    </w:pPr>
    <w:rPr>
      <w:i/>
      <w:iCs/>
      <w:color w:val="44546A" w:themeColor="text2"/>
      <w:sz w:val="18"/>
      <w:szCs w:val="18"/>
    </w:rPr>
  </w:style>
  <w:style w:type="character" w:customStyle="1" w:styleId="tlid-translation">
    <w:name w:val="tlid-translation"/>
    <w:basedOn w:val="DefaultParagraphFont"/>
    <w:rsid w:val="00C573C7"/>
  </w:style>
  <w:style w:type="paragraph" w:customStyle="1" w:styleId="TableandFigureTitles">
    <w:name w:val="Table and Figure Titles"/>
    <w:basedOn w:val="Normal"/>
    <w:link w:val="TableandFigureTitlesChar"/>
    <w:qFormat/>
    <w:rsid w:val="00C573C7"/>
    <w:pPr>
      <w:pBdr>
        <w:top w:val="nil"/>
        <w:left w:val="nil"/>
        <w:bottom w:val="nil"/>
        <w:right w:val="nil"/>
        <w:between w:val="nil"/>
        <w:bar w:val="nil"/>
      </w:pBdr>
      <w:spacing w:before="120" w:after="120" w:line="240" w:lineRule="auto"/>
    </w:pPr>
    <w:rPr>
      <w:rFonts w:ascii="Arial" w:eastAsia="Arial Unicode MS" w:hAnsi="Arial" w:cs="Times New Roman"/>
      <w:b/>
      <w:sz w:val="22"/>
      <w:szCs w:val="24"/>
      <w:bdr w:val="nil"/>
    </w:rPr>
  </w:style>
  <w:style w:type="character" w:customStyle="1" w:styleId="TableandFigureTitlesChar">
    <w:name w:val="Table and Figure Titles Char"/>
    <w:basedOn w:val="DefaultParagraphFont"/>
    <w:link w:val="TableandFigureTitles"/>
    <w:rsid w:val="00C573C7"/>
    <w:rPr>
      <w:rFonts w:ascii="Arial" w:eastAsia="Arial Unicode MS" w:hAnsi="Arial" w:cs="Times New Roman"/>
      <w:b/>
      <w:sz w:val="22"/>
      <w:szCs w:val="24"/>
      <w:bdr w:val="nil"/>
    </w:rPr>
  </w:style>
  <w:style w:type="character" w:styleId="FollowedHyperlink">
    <w:name w:val="FollowedHyperlink"/>
    <w:basedOn w:val="DefaultParagraphFont"/>
    <w:uiPriority w:val="99"/>
    <w:semiHidden/>
    <w:unhideWhenUsed/>
    <w:rsid w:val="001E6CBB"/>
    <w:rPr>
      <w:color w:val="954F72" w:themeColor="followedHyperlink"/>
      <w:u w:val="single"/>
    </w:rPr>
  </w:style>
  <w:style w:type="paragraph" w:styleId="NormalWeb">
    <w:name w:val="Normal (Web)"/>
    <w:basedOn w:val="Normal"/>
    <w:uiPriority w:val="99"/>
    <w:unhideWhenUsed/>
    <w:rsid w:val="0004369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04369D"/>
    <w:pPr>
      <w:pBdr>
        <w:top w:val="nil"/>
        <w:left w:val="nil"/>
        <w:bottom w:val="nil"/>
        <w:right w:val="nil"/>
        <w:between w:val="nil"/>
        <w:bar w:val="nil"/>
      </w:pBdr>
      <w:spacing w:after="0" w:line="240" w:lineRule="auto"/>
    </w:pPr>
    <w:rPr>
      <w:rFonts w:ascii="Times New Roman" w:eastAsia="Arial Unicode MS" w:hAnsi="Times New Roman" w:cs="Times New Roman"/>
      <w:sz w:val="22"/>
      <w:szCs w:val="24"/>
      <w:bdr w:val="nil"/>
      <w:lang w:val="en-US"/>
    </w:rPr>
  </w:style>
  <w:style w:type="paragraph" w:styleId="DocumentMap">
    <w:name w:val="Document Map"/>
    <w:basedOn w:val="Normal"/>
    <w:link w:val="DocumentMapChar"/>
    <w:uiPriority w:val="99"/>
    <w:semiHidden/>
    <w:unhideWhenUsed/>
    <w:rsid w:val="00231C4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31C46"/>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2043369">
      <w:bodyDiv w:val="1"/>
      <w:marLeft w:val="0"/>
      <w:marRight w:val="0"/>
      <w:marTop w:val="0"/>
      <w:marBottom w:val="0"/>
      <w:divBdr>
        <w:top w:val="none" w:sz="0" w:space="0" w:color="auto"/>
        <w:left w:val="none" w:sz="0" w:space="0" w:color="auto"/>
        <w:bottom w:val="none" w:sz="0" w:space="0" w:color="auto"/>
        <w:right w:val="none" w:sz="0" w:space="0" w:color="auto"/>
      </w:divBdr>
      <w:divsChild>
        <w:div w:id="1484661085">
          <w:marLeft w:val="0"/>
          <w:marRight w:val="0"/>
          <w:marTop w:val="100"/>
          <w:marBottom w:val="0"/>
          <w:divBdr>
            <w:top w:val="none" w:sz="0" w:space="0" w:color="auto"/>
            <w:left w:val="none" w:sz="0" w:space="0" w:color="auto"/>
            <w:bottom w:val="none" w:sz="0" w:space="0" w:color="auto"/>
            <w:right w:val="none" w:sz="0" w:space="0" w:color="auto"/>
          </w:divBdr>
          <w:divsChild>
            <w:div w:id="2083213043">
              <w:marLeft w:val="0"/>
              <w:marRight w:val="0"/>
              <w:marTop w:val="60"/>
              <w:marBottom w:val="0"/>
              <w:divBdr>
                <w:top w:val="none" w:sz="0" w:space="0" w:color="auto"/>
                <w:left w:val="none" w:sz="0" w:space="0" w:color="auto"/>
                <w:bottom w:val="none" w:sz="0" w:space="0" w:color="auto"/>
                <w:right w:val="none" w:sz="0" w:space="0" w:color="auto"/>
              </w:divBdr>
            </w:div>
          </w:divsChild>
        </w:div>
        <w:div w:id="694698168">
          <w:marLeft w:val="0"/>
          <w:marRight w:val="0"/>
          <w:marTop w:val="0"/>
          <w:marBottom w:val="0"/>
          <w:divBdr>
            <w:top w:val="none" w:sz="0" w:space="0" w:color="auto"/>
            <w:left w:val="none" w:sz="0" w:space="0" w:color="auto"/>
            <w:bottom w:val="none" w:sz="0" w:space="0" w:color="auto"/>
            <w:right w:val="none" w:sz="0" w:space="0" w:color="auto"/>
          </w:divBdr>
          <w:divsChild>
            <w:div w:id="1695837096">
              <w:marLeft w:val="0"/>
              <w:marRight w:val="0"/>
              <w:marTop w:val="0"/>
              <w:marBottom w:val="0"/>
              <w:divBdr>
                <w:top w:val="none" w:sz="0" w:space="0" w:color="auto"/>
                <w:left w:val="none" w:sz="0" w:space="0" w:color="auto"/>
                <w:bottom w:val="none" w:sz="0" w:space="0" w:color="auto"/>
                <w:right w:val="none" w:sz="0" w:space="0" w:color="auto"/>
              </w:divBdr>
              <w:divsChild>
                <w:div w:id="207403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3" Type="http://schemas.openxmlformats.org/officeDocument/2006/relationships/hyperlink" Target="https://theicct.org/sites/default/files/publications/EU-LCV-CO2-2030_ICCTupdate_201901.pdf" TargetMode="External"/><Relationship Id="rId2" Type="http://schemas.openxmlformats.org/officeDocument/2006/relationships/hyperlink" Target="https://theicct.org/sites/default/files/publications/EU-LCV-CO2-2030_ICCTupdate_201901.pdf" TargetMode="External"/><Relationship Id="rId1" Type="http://schemas.openxmlformats.org/officeDocument/2006/relationships/hyperlink" Target="http://dadosenergeticos.energia.sp.gov.br/portalcev2/intranet/BiblioVirtual/diversos/BalancoEnergetico.pdf" TargetMode="External"/><Relationship Id="rId5" Type="http://schemas.openxmlformats.org/officeDocument/2006/relationships/hyperlink" Target="https://ar5-syr.ipcc.ch/resources/htmlpdf/WG1AR5_Chapter08_FINAL/" TargetMode="External"/><Relationship Id="rId4" Type="http://schemas.openxmlformats.org/officeDocument/2006/relationships/hyperlink" Target="https://www.ipcc-nggip.iges.or.jp/public/2006gl/vol2.html"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Work\TCG\Brazil\Sao%20Paulo\Baseline\Energy\Transportation\CCS_Pathways_Transportation_Baseline_Tool_SP_4-03-202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Work\TCG\Brazil\Sao%20Paulo\Baseline\Energy\Transportation\CCS_Pathways_Transportation_Baseline_Tool_SP_4-03-2020.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Work\TCG\Brazil\Sao%20Paulo\Baseline\Energy\Transportation\CCS_Pathways_Transportation_Baseline_Tool_SP_4-03-2020.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Work\TCG\Brazil\Sao%20Paulo\Baseline\Energy\Transportation\CCS_Pathways_Transportation_Baseline_Tool_SP_4-03-2020.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511605144194114"/>
          <c:y val="3.021256311570919E-2"/>
          <c:w val="0.82912059823676487"/>
          <c:h val="0.86400046406755204"/>
        </c:manualLayout>
      </c:layout>
      <c:areaChart>
        <c:grouping val="stacked"/>
        <c:varyColors val="0"/>
        <c:ser>
          <c:idx val="0"/>
          <c:order val="0"/>
          <c:tx>
            <c:v>Veículos a gasolina</c:v>
          </c:tx>
          <c:spPr>
            <a:solidFill>
              <a:schemeClr val="accent6">
                <a:lumMod val="60000"/>
                <a:lumOff val="40000"/>
              </a:schemeClr>
            </a:solidFill>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de energía'!$M$14:$BK$14</c:f>
              <c:numCache>
                <c:formatCode>_(* #,##0_);_(* \(#,##0\);_(* "-"??_);_(@_)</c:formatCode>
                <c:ptCount val="51"/>
                <c:pt idx="0">
                  <c:v>188573.47200000001</c:v>
                </c:pt>
                <c:pt idx="1">
                  <c:v>185098.42800000001</c:v>
                </c:pt>
                <c:pt idx="2">
                  <c:v>174296.484</c:v>
                </c:pt>
                <c:pt idx="3">
                  <c:v>164918.052</c:v>
                </c:pt>
                <c:pt idx="4">
                  <c:v>166383.432</c:v>
                </c:pt>
                <c:pt idx="5">
                  <c:v>171826.272</c:v>
                </c:pt>
                <c:pt idx="6">
                  <c:v>172538.02800000002</c:v>
                </c:pt>
                <c:pt idx="7">
                  <c:v>175259.448</c:v>
                </c:pt>
                <c:pt idx="8">
                  <c:v>171993.74400000001</c:v>
                </c:pt>
                <c:pt idx="9">
                  <c:v>161945.424</c:v>
                </c:pt>
                <c:pt idx="10">
                  <c:v>179781.19200000001</c:v>
                </c:pt>
                <c:pt idx="11">
                  <c:v>228222.46800000002</c:v>
                </c:pt>
                <c:pt idx="12">
                  <c:v>265819.93200000003</c:v>
                </c:pt>
                <c:pt idx="13">
                  <c:v>253050.19200000001</c:v>
                </c:pt>
                <c:pt idx="14">
                  <c:v>262303.02</c:v>
                </c:pt>
                <c:pt idx="15">
                  <c:v>228180.6</c:v>
                </c:pt>
                <c:pt idx="16">
                  <c:v>235130.68800000002</c:v>
                </c:pt>
                <c:pt idx="17">
                  <c:v>246476.91600000003</c:v>
                </c:pt>
                <c:pt idx="18">
                  <c:v>198286.848</c:v>
                </c:pt>
                <c:pt idx="19">
                  <c:v>236148.46311315842</c:v>
                </c:pt>
                <c:pt idx="20">
                  <c:v>235403.92981988407</c:v>
                </c:pt>
                <c:pt idx="21">
                  <c:v>234582.35511223436</c:v>
                </c:pt>
                <c:pt idx="22">
                  <c:v>233684.23102596204</c:v>
                </c:pt>
                <c:pt idx="23">
                  <c:v>240666.398715038</c:v>
                </c:pt>
                <c:pt idx="24">
                  <c:v>246350.08397867958</c:v>
                </c:pt>
                <c:pt idx="25">
                  <c:v>251237.96547724248</c:v>
                </c:pt>
                <c:pt idx="26">
                  <c:v>255597.37322006639</c:v>
                </c:pt>
                <c:pt idx="27">
                  <c:v>259565.92303533113</c:v>
                </c:pt>
                <c:pt idx="28">
                  <c:v>263231.48049796768</c:v>
                </c:pt>
                <c:pt idx="29">
                  <c:v>270936.87599292316</c:v>
                </c:pt>
                <c:pt idx="30">
                  <c:v>278657.85846841993</c:v>
                </c:pt>
                <c:pt idx="31">
                  <c:v>286411.53949583578</c:v>
                </c:pt>
                <c:pt idx="32">
                  <c:v>294208.12146080268</c:v>
                </c:pt>
                <c:pt idx="33">
                  <c:v>302053.48850786092</c:v>
                </c:pt>
                <c:pt idx="34">
                  <c:v>309951.02979780931</c:v>
                </c:pt>
                <c:pt idx="35">
                  <c:v>317901.3516249652</c:v>
                </c:pt>
                <c:pt idx="36">
                  <c:v>325902.56529990467</c:v>
                </c:pt>
                <c:pt idx="37">
                  <c:v>333947.69620480691</c:v>
                </c:pt>
                <c:pt idx="38">
                  <c:v>342025.93128532544</c:v>
                </c:pt>
                <c:pt idx="39">
                  <c:v>350124.92211250361</c:v>
                </c:pt>
                <c:pt idx="40">
                  <c:v>358233.4717883424</c:v>
                </c:pt>
                <c:pt idx="41">
                  <c:v>366342.30263310572</c:v>
                </c:pt>
                <c:pt idx="42">
                  <c:v>374440.02582696819</c:v>
                </c:pt>
                <c:pt idx="43">
                  <c:v>382514.77274553885</c:v>
                </c:pt>
                <c:pt idx="44">
                  <c:v>390556.30609995034</c:v>
                </c:pt>
                <c:pt idx="45">
                  <c:v>398558.41895968677</c:v>
                </c:pt>
                <c:pt idx="46">
                  <c:v>406519.41455715039</c:v>
                </c:pt>
                <c:pt idx="47">
                  <c:v>414408.80785080057</c:v>
                </c:pt>
                <c:pt idx="48">
                  <c:v>422224.80611212633</c:v>
                </c:pt>
                <c:pt idx="49">
                  <c:v>429969.0712054898</c:v>
                </c:pt>
                <c:pt idx="50">
                  <c:v>437647.96707999695</c:v>
                </c:pt>
              </c:numCache>
              <c:extLst/>
            </c:numRef>
          </c:val>
          <c:extLst>
            <c:ext xmlns:c16="http://schemas.microsoft.com/office/drawing/2014/chart" uri="{C3380CC4-5D6E-409C-BE32-E72D297353CC}">
              <c16:uniqueId val="{00000000-2405-1A45-AC66-9630C90E6FAC}"/>
            </c:ext>
          </c:extLst>
        </c:ser>
        <c:ser>
          <c:idx val="1"/>
          <c:order val="1"/>
          <c:tx>
            <c:v>Veículos a diesel</c:v>
          </c:tx>
          <c:spPr>
            <a:solidFill>
              <a:schemeClr val="accent6">
                <a:lumMod val="75000"/>
              </a:schemeClr>
            </a:solidFill>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de energía'!$M$15:$BK$15</c:f>
              <c:numCache>
                <c:formatCode>_(* #,##0_);_(* \(#,##0\);_(* "-"??_);_(@_)</c:formatCode>
                <c:ptCount val="51"/>
                <c:pt idx="0">
                  <c:v>247942.296</c:v>
                </c:pt>
                <c:pt idx="1">
                  <c:v>255687.87600000002</c:v>
                </c:pt>
                <c:pt idx="2">
                  <c:v>261968.076</c:v>
                </c:pt>
                <c:pt idx="3">
                  <c:v>250914.92400000003</c:v>
                </c:pt>
                <c:pt idx="4">
                  <c:v>258325.56000000003</c:v>
                </c:pt>
                <c:pt idx="5">
                  <c:v>261298.18800000002</c:v>
                </c:pt>
                <c:pt idx="6">
                  <c:v>253092.06000000003</c:v>
                </c:pt>
                <c:pt idx="7">
                  <c:v>272686.28400000004</c:v>
                </c:pt>
                <c:pt idx="8">
                  <c:v>295839.288</c:v>
                </c:pt>
                <c:pt idx="9">
                  <c:v>296090.49600000004</c:v>
                </c:pt>
                <c:pt idx="10">
                  <c:v>325481.83199999999</c:v>
                </c:pt>
                <c:pt idx="11">
                  <c:v>341559.14400000003</c:v>
                </c:pt>
                <c:pt idx="12">
                  <c:v>359353.04399999999</c:v>
                </c:pt>
                <c:pt idx="13">
                  <c:v>371745.97200000001</c:v>
                </c:pt>
                <c:pt idx="14">
                  <c:v>369778.17600000004</c:v>
                </c:pt>
                <c:pt idx="15">
                  <c:v>361237.10399999999</c:v>
                </c:pt>
                <c:pt idx="16">
                  <c:v>350016.48000000004</c:v>
                </c:pt>
                <c:pt idx="17">
                  <c:v>356464.152</c:v>
                </c:pt>
                <c:pt idx="18">
                  <c:v>358976.23200000002</c:v>
                </c:pt>
                <c:pt idx="19">
                  <c:v>351412.3890450609</c:v>
                </c:pt>
                <c:pt idx="20">
                  <c:v>351235.56453834689</c:v>
                </c:pt>
                <c:pt idx="21">
                  <c:v>350964.07629631535</c:v>
                </c:pt>
                <c:pt idx="22">
                  <c:v>350598.58964855911</c:v>
                </c:pt>
                <c:pt idx="23">
                  <c:v>362111.0417500906</c:v>
                </c:pt>
                <c:pt idx="24">
                  <c:v>371756.00189694948</c:v>
                </c:pt>
                <c:pt idx="25">
                  <c:v>380280.70545274159</c:v>
                </c:pt>
                <c:pt idx="26">
                  <c:v>388083.68576086563</c:v>
                </c:pt>
                <c:pt idx="27">
                  <c:v>395370.63216870313</c:v>
                </c:pt>
                <c:pt idx="28">
                  <c:v>402273.71577063401</c:v>
                </c:pt>
                <c:pt idx="29">
                  <c:v>414049.19973392837</c:v>
                </c:pt>
                <c:pt idx="30">
                  <c:v>425848.50392027549</c:v>
                </c:pt>
                <c:pt idx="31">
                  <c:v>437697.77845194732</c:v>
                </c:pt>
                <c:pt idx="32">
                  <c:v>449612.61474517622</c:v>
                </c:pt>
                <c:pt idx="33">
                  <c:v>461602.00502491888</c:v>
                </c:pt>
                <c:pt idx="34">
                  <c:v>473671.12865006243</c:v>
                </c:pt>
                <c:pt idx="35">
                  <c:v>485820.91216733848</c:v>
                </c:pt>
                <c:pt idx="36">
                  <c:v>498048.4692574091</c:v>
                </c:pt>
                <c:pt idx="37">
                  <c:v>510343.14122010075</c:v>
                </c:pt>
                <c:pt idx="38">
                  <c:v>522688.40340743994</c:v>
                </c:pt>
                <c:pt idx="39">
                  <c:v>535065.38479233335</c:v>
                </c:pt>
                <c:pt idx="40">
                  <c:v>547456.97413202701</c:v>
                </c:pt>
                <c:pt idx="41">
                  <c:v>559848.99315766804</c:v>
                </c:pt>
                <c:pt idx="42">
                  <c:v>572224.03732911265</c:v>
                </c:pt>
                <c:pt idx="43">
                  <c:v>584563.96886274242</c:v>
                </c:pt>
                <c:pt idx="44">
                  <c:v>596853.14300275396</c:v>
                </c:pt>
                <c:pt idx="45">
                  <c:v>609082.07423853374</c:v>
                </c:pt>
                <c:pt idx="46">
                  <c:v>621248.16954813362</c:v>
                </c:pt>
                <c:pt idx="47">
                  <c:v>633304.84130110452</c:v>
                </c:pt>
                <c:pt idx="48">
                  <c:v>645249.34982680355</c:v>
                </c:pt>
                <c:pt idx="49">
                  <c:v>657084.23480760725</c:v>
                </c:pt>
                <c:pt idx="50">
                  <c:v>668819.2217119477</c:v>
                </c:pt>
              </c:numCache>
              <c:extLst/>
            </c:numRef>
          </c:val>
          <c:extLst>
            <c:ext xmlns:c16="http://schemas.microsoft.com/office/drawing/2014/chart" uri="{C3380CC4-5D6E-409C-BE32-E72D297353CC}">
              <c16:uniqueId val="{00000001-2405-1A45-AC66-9630C90E6FAC}"/>
            </c:ext>
          </c:extLst>
        </c:ser>
        <c:ser>
          <c:idx val="2"/>
          <c:order val="2"/>
          <c:tx>
            <c:v>Veículos a GNC</c:v>
          </c:tx>
          <c:spPr>
            <a:solidFill>
              <a:schemeClr val="tx2">
                <a:lumMod val="75000"/>
              </a:schemeClr>
            </a:solidFill>
            <a:ln w="25400">
              <a:noFill/>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de energía'!$M$16:$BK$16</c:f>
              <c:numCache>
                <c:formatCode>_(* #,##0_);_(* \(#,##0\);_(* "-"??_);_(@_)</c:formatCode>
                <c:ptCount val="51"/>
                <c:pt idx="0">
                  <c:v>2679.5520000000001</c:v>
                </c:pt>
                <c:pt idx="1">
                  <c:v>4647.348</c:v>
                </c:pt>
                <c:pt idx="2">
                  <c:v>8289.8639999999996</c:v>
                </c:pt>
                <c:pt idx="3">
                  <c:v>14402.592000000001</c:v>
                </c:pt>
                <c:pt idx="4">
                  <c:v>16914.672000000002</c:v>
                </c:pt>
                <c:pt idx="5">
                  <c:v>19929.168000000001</c:v>
                </c:pt>
                <c:pt idx="6">
                  <c:v>23739.156000000003</c:v>
                </c:pt>
                <c:pt idx="7">
                  <c:v>25665.084000000003</c:v>
                </c:pt>
                <c:pt idx="8">
                  <c:v>23487.948</c:v>
                </c:pt>
                <c:pt idx="9">
                  <c:v>16579.727999999999</c:v>
                </c:pt>
                <c:pt idx="10">
                  <c:v>14402.592000000001</c:v>
                </c:pt>
                <c:pt idx="11">
                  <c:v>13104.684000000001</c:v>
                </c:pt>
                <c:pt idx="12">
                  <c:v>11639.304</c:v>
                </c:pt>
                <c:pt idx="13">
                  <c:v>11262.492</c:v>
                </c:pt>
                <c:pt idx="14">
                  <c:v>10048.32</c:v>
                </c:pt>
                <c:pt idx="15">
                  <c:v>9001.6200000000008</c:v>
                </c:pt>
                <c:pt idx="16">
                  <c:v>8959.7520000000004</c:v>
                </c:pt>
                <c:pt idx="17">
                  <c:v>9252.8280000000013</c:v>
                </c:pt>
                <c:pt idx="18">
                  <c:v>10425.132000000001</c:v>
                </c:pt>
                <c:pt idx="19">
                  <c:v>8284.4236767255006</c:v>
                </c:pt>
                <c:pt idx="20">
                  <c:v>7882.3556734435169</c:v>
                </c:pt>
                <c:pt idx="21">
                  <c:v>7469.5171614115006</c:v>
                </c:pt>
                <c:pt idx="22">
                  <c:v>7045.9524008992785</c:v>
                </c:pt>
                <c:pt idx="23">
                  <c:v>6837.7579026526391</c:v>
                </c:pt>
                <c:pt idx="24">
                  <c:v>6557.8555165457947</c:v>
                </c:pt>
                <c:pt idx="25">
                  <c:v>6224.2031175865195</c:v>
                </c:pt>
                <c:pt idx="26">
                  <c:v>5845.8884294612544</c:v>
                </c:pt>
                <c:pt idx="27">
                  <c:v>5427.374487104621</c:v>
                </c:pt>
                <c:pt idx="28">
                  <c:v>4971.1710504245029</c:v>
                </c:pt>
                <c:pt idx="29">
                  <c:v>5116.6887481714857</c:v>
                </c:pt>
                <c:pt idx="30">
                  <c:v>5262.5008086834523</c:v>
                </c:pt>
                <c:pt idx="31">
                  <c:v>5408.9303868813113</c:v>
                </c:pt>
                <c:pt idx="32">
                  <c:v>5556.1701565440617</c:v>
                </c:pt>
                <c:pt idx="33">
                  <c:v>5704.3312407369958</c:v>
                </c:pt>
                <c:pt idx="34">
                  <c:v>5853.4776443352794</c:v>
                </c:pt>
                <c:pt idx="35">
                  <c:v>6003.6208173096857</c:v>
                </c:pt>
                <c:pt idx="36">
                  <c:v>6154.7250914408605</c:v>
                </c:pt>
                <c:pt idx="37">
                  <c:v>6306.6587498910858</c:v>
                </c:pt>
                <c:pt idx="38">
                  <c:v>6459.2175862993599</c:v>
                </c:pt>
                <c:pt idx="39">
                  <c:v>6612.1683984953688</c:v>
                </c:pt>
                <c:pt idx="40">
                  <c:v>6765.2997311657773</c:v>
                </c:pt>
                <c:pt idx="41">
                  <c:v>6918.4363737589038</c:v>
                </c:pt>
                <c:pt idx="42">
                  <c:v>7071.363246485249</c:v>
                </c:pt>
                <c:pt idx="43">
                  <c:v>7223.8562083649094</c:v>
                </c:pt>
                <c:pt idx="44">
                  <c:v>7375.7219264653768</c:v>
                </c:pt>
                <c:pt idx="45">
                  <c:v>7526.8431818535928</c:v>
                </c:pt>
                <c:pt idx="46">
                  <c:v>7677.1879307863619</c:v>
                </c:pt>
                <c:pt idx="47">
                  <c:v>7826.1804580958369</c:v>
                </c:pt>
                <c:pt idx="48">
                  <c:v>7973.7869078007416</c:v>
                </c:pt>
                <c:pt idx="49">
                  <c:v>8120.0386644907576</c:v>
                </c:pt>
                <c:pt idx="50">
                  <c:v>8265.0559124215906</c:v>
                </c:pt>
              </c:numCache>
              <c:extLst/>
            </c:numRef>
          </c:val>
          <c:extLst>
            <c:ext xmlns:c16="http://schemas.microsoft.com/office/drawing/2014/chart" uri="{C3380CC4-5D6E-409C-BE32-E72D297353CC}">
              <c16:uniqueId val="{00000002-2405-1A45-AC66-9630C90E6FAC}"/>
            </c:ext>
          </c:extLst>
        </c:ser>
        <c:ser>
          <c:idx val="8"/>
          <c:order val="3"/>
          <c:tx>
            <c:v>Veículos a bioetanol</c:v>
          </c:tx>
          <c:spPr>
            <a:solidFill>
              <a:schemeClr val="accent3">
                <a:lumMod val="60000"/>
                <a:lumOff val="40000"/>
              </a:schemeClr>
            </a:solidFill>
            <a:ln w="25400">
              <a:noFill/>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xmlns:c15="http://schemas.microsoft.com/office/drawing/2012/chart"/>
            </c:numRef>
          </c:cat>
          <c:val>
            <c:numRef>
              <c:f>'8. Resumen de energía'!$M$17:$BK$17</c:f>
              <c:numCache>
                <c:formatCode>_(* #,##0_);_(* \(#,##0\);_(* "-"??_);_(@_)</c:formatCode>
                <c:ptCount val="51"/>
                <c:pt idx="0">
                  <c:v>74818.116000000009</c:v>
                </c:pt>
                <c:pt idx="1">
                  <c:v>63974.304000000004</c:v>
                </c:pt>
                <c:pt idx="2">
                  <c:v>72096.696000000011</c:v>
                </c:pt>
                <c:pt idx="3">
                  <c:v>65439.684000000001</c:v>
                </c:pt>
                <c:pt idx="4">
                  <c:v>81223.92</c:v>
                </c:pt>
                <c:pt idx="5">
                  <c:v>86499.288</c:v>
                </c:pt>
                <c:pt idx="6">
                  <c:v>114969.52800000001</c:v>
                </c:pt>
                <c:pt idx="7">
                  <c:v>156795.66</c:v>
                </c:pt>
                <c:pt idx="8">
                  <c:v>192509.06400000001</c:v>
                </c:pt>
                <c:pt idx="9">
                  <c:v>221272.38</c:v>
                </c:pt>
                <c:pt idx="10">
                  <c:v>220393.152</c:v>
                </c:pt>
                <c:pt idx="11">
                  <c:v>191462.364</c:v>
                </c:pt>
                <c:pt idx="12">
                  <c:v>170653.96800000002</c:v>
                </c:pt>
                <c:pt idx="13">
                  <c:v>200631.45600000001</c:v>
                </c:pt>
                <c:pt idx="14">
                  <c:v>222444.68400000001</c:v>
                </c:pt>
                <c:pt idx="15">
                  <c:v>254683.04400000002</c:v>
                </c:pt>
                <c:pt idx="16">
                  <c:v>238773.20400000003</c:v>
                </c:pt>
                <c:pt idx="17">
                  <c:v>227426.97600000002</c:v>
                </c:pt>
                <c:pt idx="18">
                  <c:v>263517.19200000004</c:v>
                </c:pt>
                <c:pt idx="19">
                  <c:v>253050.40692019183</c:v>
                </c:pt>
                <c:pt idx="20">
                  <c:v>263676.40496731014</c:v>
                </c:pt>
                <c:pt idx="21">
                  <c:v>274465.00044610776</c:v>
                </c:pt>
                <c:pt idx="22">
                  <c:v>285415.90020131133</c:v>
                </c:pt>
                <c:pt idx="23">
                  <c:v>306667.17487785663</c:v>
                </c:pt>
                <c:pt idx="24">
                  <c:v>327321.80152584577</c:v>
                </c:pt>
                <c:pt idx="25">
                  <c:v>347908.61645832792</c:v>
                </c:pt>
                <c:pt idx="26">
                  <c:v>368722.91354168026</c:v>
                </c:pt>
                <c:pt idx="27">
                  <c:v>389923.24096919654</c:v>
                </c:pt>
                <c:pt idx="28">
                  <c:v>411621.15525912447</c:v>
                </c:pt>
                <c:pt idx="29">
                  <c:v>423670.2604397129</c:v>
                </c:pt>
                <c:pt idx="30">
                  <c:v>435743.73934233969</c:v>
                </c:pt>
                <c:pt idx="31">
                  <c:v>447868.34972700191</c:v>
                </c:pt>
                <c:pt idx="32">
                  <c:v>460060.04530011903</c:v>
                </c:pt>
                <c:pt idx="33">
                  <c:v>472328.02723462367</c:v>
                </c:pt>
                <c:pt idx="34">
                  <c:v>484677.59523965669</c:v>
                </c:pt>
                <c:pt idx="35">
                  <c:v>497109.6973916674</c:v>
                </c:pt>
                <c:pt idx="36">
                  <c:v>509621.38030331337</c:v>
                </c:pt>
                <c:pt idx="37">
                  <c:v>522201.73760336777</c:v>
                </c:pt>
                <c:pt idx="38">
                  <c:v>534833.86066861602</c:v>
                </c:pt>
                <c:pt idx="39">
                  <c:v>547498.43997504853</c:v>
                </c:pt>
                <c:pt idx="40">
                  <c:v>560177.9666742516</c:v>
                </c:pt>
                <c:pt idx="41">
                  <c:v>572857.93304380623</c:v>
                </c:pt>
                <c:pt idx="42">
                  <c:v>585520.53012269945</c:v>
                </c:pt>
                <c:pt idx="43">
                  <c:v>598147.19866841985</c:v>
                </c:pt>
                <c:pt idx="44">
                  <c:v>610721.93039555149</c:v>
                </c:pt>
                <c:pt idx="45">
                  <c:v>623235.01938326482</c:v>
                </c:pt>
                <c:pt idx="46">
                  <c:v>635683.81235681684</c:v>
                </c:pt>
                <c:pt idx="47">
                  <c:v>648020.63915155479</c:v>
                </c:pt>
                <c:pt idx="48">
                  <c:v>660242.69643643592</c:v>
                </c:pt>
                <c:pt idx="49">
                  <c:v>672352.58290720626</c:v>
                </c:pt>
                <c:pt idx="50">
                  <c:v>684360.25001829688</c:v>
                </c:pt>
              </c:numCache>
              <c:extLst xmlns:c15="http://schemas.microsoft.com/office/drawing/2012/chart"/>
            </c:numRef>
          </c:val>
          <c:extLst xmlns:c15="http://schemas.microsoft.com/office/drawing/2012/chart">
            <c:ext xmlns:c16="http://schemas.microsoft.com/office/drawing/2014/chart" uri="{C3380CC4-5D6E-409C-BE32-E72D297353CC}">
              <c16:uniqueId val="{00000003-2405-1A45-AC66-9630C90E6FAC}"/>
            </c:ext>
          </c:extLst>
        </c:ser>
        <c:ser>
          <c:idx val="10"/>
          <c:order val="4"/>
          <c:tx>
            <c:v>Veículos a biodiesel</c:v>
          </c:tx>
          <c:spPr>
            <a:solidFill>
              <a:schemeClr val="accent3">
                <a:lumMod val="75000"/>
              </a:schemeClr>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ysDash"/>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xmlns:c15="http://schemas.microsoft.com/office/drawing/2012/chart"/>
            </c:numRef>
          </c:cat>
          <c:val>
            <c:numRef>
              <c:f>'8. Resumen de energía'!$M$18:$BK$18</c:f>
              <c:numCache>
                <c:formatCode>_(* #,##0_);_(* \(#,##0\);_(* "-"??_);_(@_)</c:formatCode>
                <c:ptCount val="51"/>
                <c:pt idx="0">
                  <c:v>0</c:v>
                </c:pt>
                <c:pt idx="1">
                  <c:v>0</c:v>
                </c:pt>
                <c:pt idx="2">
                  <c:v>0</c:v>
                </c:pt>
                <c:pt idx="3">
                  <c:v>0</c:v>
                </c:pt>
                <c:pt idx="4">
                  <c:v>0</c:v>
                </c:pt>
                <c:pt idx="5">
                  <c:v>0</c:v>
                </c:pt>
                <c:pt idx="6">
                  <c:v>574.89813520822065</c:v>
                </c:pt>
                <c:pt idx="7">
                  <c:v>1026.074698260958</c:v>
                </c:pt>
                <c:pt idx="8">
                  <c:v>5191.1422233962267</c:v>
                </c:pt>
                <c:pt idx="9">
                  <c:v>6693.8746102117057</c:v>
                </c:pt>
                <c:pt idx="10">
                  <c:v>9279.2117754141236</c:v>
                </c:pt>
                <c:pt idx="11">
                  <c:v>8446.6382328778618</c:v>
                </c:pt>
                <c:pt idx="12">
                  <c:v>4546.9627563265958</c:v>
                </c:pt>
                <c:pt idx="13">
                  <c:v>4670.3186309177263</c:v>
                </c:pt>
                <c:pt idx="14">
                  <c:v>4889.3435420393562</c:v>
                </c:pt>
                <c:pt idx="15">
                  <c:v>5352.9537840057983</c:v>
                </c:pt>
                <c:pt idx="16">
                  <c:v>4037.9764454104666</c:v>
                </c:pt>
                <c:pt idx="17">
                  <c:v>4663.9065929115604</c:v>
                </c:pt>
                <c:pt idx="18">
                  <c:v>6919.3112263591438</c:v>
                </c:pt>
                <c:pt idx="19">
                  <c:v>4519.7643630996045</c:v>
                </c:pt>
                <c:pt idx="20">
                  <c:v>4495.3812682656371</c:v>
                </c:pt>
                <c:pt idx="21">
                  <c:v>4469.3061847056451</c:v>
                </c:pt>
                <c:pt idx="22">
                  <c:v>4441.549257453421</c:v>
                </c:pt>
                <c:pt idx="23">
                  <c:v>4562.9708469058751</c:v>
                </c:pt>
                <c:pt idx="24">
                  <c:v>4658.8351535138181</c:v>
                </c:pt>
                <c:pt idx="25">
                  <c:v>4738.7719084713181</c:v>
                </c:pt>
                <c:pt idx="26">
                  <c:v>4807.8898429895034</c:v>
                </c:pt>
                <c:pt idx="27">
                  <c:v>4868.813025159383</c:v>
                </c:pt>
                <c:pt idx="28">
                  <c:v>4923.2077225438234</c:v>
                </c:pt>
                <c:pt idx="29">
                  <c:v>5067.3214225247493</c:v>
                </c:pt>
                <c:pt idx="30">
                  <c:v>5211.7266451716832</c:v>
                </c:pt>
                <c:pt idx="31">
                  <c:v>5356.7434275113246</c:v>
                </c:pt>
                <c:pt idx="32">
                  <c:v>5502.5625843490925</c:v>
                </c:pt>
                <c:pt idx="33">
                  <c:v>5649.2941666020979</c:v>
                </c:pt>
                <c:pt idx="34">
                  <c:v>5797.001561607547</c:v>
                </c:pt>
                <c:pt idx="35">
                  <c:v>5945.6961088635126</c:v>
                </c:pt>
                <c:pt idx="36">
                  <c:v>6095.3424842881623</c:v>
                </c:pt>
                <c:pt idx="37">
                  <c:v>6245.8102418867693</c:v>
                </c:pt>
                <c:pt idx="38">
                  <c:v>6396.8971455416695</c:v>
                </c:pt>
                <c:pt idx="39">
                  <c:v>6548.3722430860271</c:v>
                </c:pt>
                <c:pt idx="40">
                  <c:v>6700.0261193898823</c:v>
                </c:pt>
                <c:pt idx="41">
                  <c:v>6851.6852543847508</c:v>
                </c:pt>
                <c:pt idx="42">
                  <c:v>7003.1366434345264</c:v>
                </c:pt>
                <c:pt idx="43">
                  <c:v>7154.1583081377385</c:v>
                </c:pt>
                <c:pt idx="44">
                  <c:v>7304.5587808951668</c:v>
                </c:pt>
                <c:pt idx="45">
                  <c:v>7454.2219737366695</c:v>
                </c:pt>
                <c:pt idx="46">
                  <c:v>7603.1161520865608</c:v>
                </c:pt>
                <c:pt idx="47">
                  <c:v>7750.6711554471249</c:v>
                </c:pt>
                <c:pt idx="48">
                  <c:v>7896.8534544896029</c:v>
                </c:pt>
                <c:pt idx="49">
                  <c:v>8041.6941309958765</c:v>
                </c:pt>
                <c:pt idx="50">
                  <c:v>8185.312209648424</c:v>
                </c:pt>
              </c:numCache>
              <c:extLst xmlns:c15="http://schemas.microsoft.com/office/drawing/2012/chart"/>
            </c:numRef>
          </c:val>
          <c:extLst xmlns:c15="http://schemas.microsoft.com/office/drawing/2012/chart">
            <c:ext xmlns:c16="http://schemas.microsoft.com/office/drawing/2014/chart" uri="{C3380CC4-5D6E-409C-BE32-E72D297353CC}">
              <c16:uniqueId val="{00000004-2405-1A45-AC66-9630C90E6FAC}"/>
            </c:ext>
          </c:extLst>
        </c:ser>
        <c:ser>
          <c:idx val="3"/>
          <c:order val="6"/>
          <c:tx>
            <c:v>Veículos a bioetanol</c:v>
          </c:tx>
          <c:spPr>
            <a:ln w="25400">
              <a:noFill/>
            </a:ln>
          </c:spPr>
          <c:val>
            <c:numRef>
              <c:f>'8. Resumen de energía'!$M$17:$BK$17</c:f>
              <c:numCache>
                <c:formatCode>_(* #,##0_);_(* \(#,##0\);_(* "-"??_);_(@_)</c:formatCode>
                <c:ptCount val="51"/>
                <c:pt idx="0">
                  <c:v>74818.116000000009</c:v>
                </c:pt>
                <c:pt idx="1">
                  <c:v>63974.304000000004</c:v>
                </c:pt>
                <c:pt idx="2">
                  <c:v>72096.696000000011</c:v>
                </c:pt>
                <c:pt idx="3">
                  <c:v>65439.684000000001</c:v>
                </c:pt>
                <c:pt idx="4">
                  <c:v>81223.92</c:v>
                </c:pt>
                <c:pt idx="5">
                  <c:v>86499.288</c:v>
                </c:pt>
                <c:pt idx="6">
                  <c:v>114969.52800000001</c:v>
                </c:pt>
                <c:pt idx="7">
                  <c:v>156795.66</c:v>
                </c:pt>
                <c:pt idx="8">
                  <c:v>192509.06400000001</c:v>
                </c:pt>
                <c:pt idx="9">
                  <c:v>221272.38</c:v>
                </c:pt>
                <c:pt idx="10">
                  <c:v>220393.152</c:v>
                </c:pt>
                <c:pt idx="11">
                  <c:v>191462.364</c:v>
                </c:pt>
                <c:pt idx="12">
                  <c:v>170653.96800000002</c:v>
                </c:pt>
                <c:pt idx="13">
                  <c:v>200631.45600000001</c:v>
                </c:pt>
                <c:pt idx="14">
                  <c:v>222444.68400000001</c:v>
                </c:pt>
                <c:pt idx="15">
                  <c:v>254683.04400000002</c:v>
                </c:pt>
                <c:pt idx="16">
                  <c:v>238773.20400000003</c:v>
                </c:pt>
                <c:pt idx="17">
                  <c:v>227426.97600000002</c:v>
                </c:pt>
                <c:pt idx="18">
                  <c:v>263517.19200000004</c:v>
                </c:pt>
                <c:pt idx="19">
                  <c:v>253050.40692019183</c:v>
                </c:pt>
                <c:pt idx="20">
                  <c:v>263676.40496731014</c:v>
                </c:pt>
                <c:pt idx="21">
                  <c:v>274465.00044610776</c:v>
                </c:pt>
                <c:pt idx="22">
                  <c:v>285415.90020131133</c:v>
                </c:pt>
                <c:pt idx="23">
                  <c:v>306667.17487785663</c:v>
                </c:pt>
                <c:pt idx="24">
                  <c:v>327321.80152584577</c:v>
                </c:pt>
                <c:pt idx="25">
                  <c:v>347908.61645832792</c:v>
                </c:pt>
                <c:pt idx="26">
                  <c:v>368722.91354168026</c:v>
                </c:pt>
                <c:pt idx="27">
                  <c:v>389923.24096919654</c:v>
                </c:pt>
                <c:pt idx="28">
                  <c:v>411621.15525912447</c:v>
                </c:pt>
                <c:pt idx="29">
                  <c:v>423670.2604397129</c:v>
                </c:pt>
                <c:pt idx="30">
                  <c:v>435743.73934233969</c:v>
                </c:pt>
                <c:pt idx="31">
                  <c:v>447868.34972700191</c:v>
                </c:pt>
                <c:pt idx="32">
                  <c:v>460060.04530011903</c:v>
                </c:pt>
                <c:pt idx="33">
                  <c:v>472328.02723462367</c:v>
                </c:pt>
                <c:pt idx="34">
                  <c:v>484677.59523965669</c:v>
                </c:pt>
                <c:pt idx="35">
                  <c:v>497109.6973916674</c:v>
                </c:pt>
                <c:pt idx="36">
                  <c:v>509621.38030331337</c:v>
                </c:pt>
                <c:pt idx="37">
                  <c:v>522201.73760336777</c:v>
                </c:pt>
                <c:pt idx="38">
                  <c:v>534833.86066861602</c:v>
                </c:pt>
                <c:pt idx="39">
                  <c:v>547498.43997504853</c:v>
                </c:pt>
                <c:pt idx="40">
                  <c:v>560177.9666742516</c:v>
                </c:pt>
                <c:pt idx="41">
                  <c:v>572857.93304380623</c:v>
                </c:pt>
                <c:pt idx="42">
                  <c:v>585520.53012269945</c:v>
                </c:pt>
                <c:pt idx="43">
                  <c:v>598147.19866841985</c:v>
                </c:pt>
                <c:pt idx="44">
                  <c:v>610721.93039555149</c:v>
                </c:pt>
                <c:pt idx="45">
                  <c:v>623235.01938326482</c:v>
                </c:pt>
                <c:pt idx="46">
                  <c:v>635683.81235681684</c:v>
                </c:pt>
                <c:pt idx="47">
                  <c:v>648020.63915155479</c:v>
                </c:pt>
                <c:pt idx="48">
                  <c:v>660242.69643643592</c:v>
                </c:pt>
                <c:pt idx="49">
                  <c:v>672352.58290720626</c:v>
                </c:pt>
                <c:pt idx="50">
                  <c:v>684360.25001829688</c:v>
                </c:pt>
              </c:numCache>
            </c:numRef>
          </c:val>
          <c:extLst>
            <c:ext xmlns:c16="http://schemas.microsoft.com/office/drawing/2014/chart" uri="{C3380CC4-5D6E-409C-BE32-E72D297353CC}">
              <c16:uniqueId val="{00000005-2405-1A45-AC66-9630C90E6FAC}"/>
            </c:ext>
          </c:extLst>
        </c:ser>
        <c:ser>
          <c:idx val="13"/>
          <c:order val="7"/>
          <c:tx>
            <c:v>Marine diesel</c:v>
          </c:tx>
          <c:spPr>
            <a:ln w="25400">
              <a:noFill/>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xmlns:c15="http://schemas.microsoft.com/office/drawing/2012/chart"/>
            </c:numRef>
          </c:cat>
          <c:val>
            <c:numRef>
              <c:f>'8. Resumen de energía'!$M$26:$BK$26</c:f>
              <c:numCache>
                <c:formatCode>_(* #,##0_);_(* \(#,##0\);_(* "-"??_);_(@_)</c:formatCode>
                <c:ptCount val="51"/>
                <c:pt idx="0">
                  <c:v>9922.7160000000003</c:v>
                </c:pt>
                <c:pt idx="1">
                  <c:v>12434.796</c:v>
                </c:pt>
                <c:pt idx="2">
                  <c:v>8164.26</c:v>
                </c:pt>
                <c:pt idx="3">
                  <c:v>7201.2960000000003</c:v>
                </c:pt>
                <c:pt idx="4">
                  <c:v>6531.4080000000004</c:v>
                </c:pt>
                <c:pt idx="5">
                  <c:v>5945.2560000000003</c:v>
                </c:pt>
                <c:pt idx="6">
                  <c:v>3558.78</c:v>
                </c:pt>
                <c:pt idx="7">
                  <c:v>3349.44</c:v>
                </c:pt>
                <c:pt idx="8">
                  <c:v>3475.0440000000003</c:v>
                </c:pt>
                <c:pt idx="9">
                  <c:v>3516.9120000000003</c:v>
                </c:pt>
                <c:pt idx="10">
                  <c:v>2386.4760000000001</c:v>
                </c:pt>
                <c:pt idx="11">
                  <c:v>460.548</c:v>
                </c:pt>
                <c:pt idx="12">
                  <c:v>628.02</c:v>
                </c:pt>
                <c:pt idx="13">
                  <c:v>879.22800000000007</c:v>
                </c:pt>
                <c:pt idx="14">
                  <c:v>962.96400000000006</c:v>
                </c:pt>
                <c:pt idx="15">
                  <c:v>837.36</c:v>
                </c:pt>
                <c:pt idx="16">
                  <c:v>837.36</c:v>
                </c:pt>
                <c:pt idx="17">
                  <c:v>879.22800000000007</c:v>
                </c:pt>
                <c:pt idx="18">
                  <c:v>879.22800000000007</c:v>
                </c:pt>
                <c:pt idx="19">
                  <c:v>879.73500834739104</c:v>
                </c:pt>
                <c:pt idx="20">
                  <c:v>880.24201669478191</c:v>
                </c:pt>
                <c:pt idx="21">
                  <c:v>880.74902504217289</c:v>
                </c:pt>
                <c:pt idx="22">
                  <c:v>881.25603338956375</c:v>
                </c:pt>
                <c:pt idx="23">
                  <c:v>881.76304173695462</c:v>
                </c:pt>
                <c:pt idx="24">
                  <c:v>882.2700500843456</c:v>
                </c:pt>
                <c:pt idx="25">
                  <c:v>882.77705843173646</c:v>
                </c:pt>
                <c:pt idx="26">
                  <c:v>883.28406677912767</c:v>
                </c:pt>
                <c:pt idx="27">
                  <c:v>901.58281958377324</c:v>
                </c:pt>
                <c:pt idx="28">
                  <c:v>919.75788211306644</c:v>
                </c:pt>
                <c:pt idx="29">
                  <c:v>937.91543494820792</c:v>
                </c:pt>
                <c:pt idx="30">
                  <c:v>956.11698650198684</c:v>
                </c:pt>
                <c:pt idx="31">
                  <c:v>974.40204582787305</c:v>
                </c:pt>
                <c:pt idx="32">
                  <c:v>992.79395918473517</c:v>
                </c:pt>
                <c:pt idx="33">
                  <c:v>1011.3059710848163</c:v>
                </c:pt>
                <c:pt idx="34">
                  <c:v>1029.9454894756418</c:v>
                </c:pt>
                <c:pt idx="35">
                  <c:v>1048.7134122902451</c:v>
                </c:pt>
                <c:pt idx="36">
                  <c:v>1067.6048008969424</c:v>
                </c:pt>
                <c:pt idx="37">
                  <c:v>1086.6028190513578</c:v>
                </c:pt>
                <c:pt idx="38">
                  <c:v>1105.6816511787802</c:v>
                </c:pt>
                <c:pt idx="39">
                  <c:v>1124.8118899723652</c:v>
                </c:pt>
                <c:pt idx="40">
                  <c:v>1143.966821924369</c:v>
                </c:pt>
                <c:pt idx="41">
                  <c:v>1163.1242231922151</c:v>
                </c:pt>
                <c:pt idx="42">
                  <c:v>1182.2569313016422</c:v>
                </c:pt>
                <c:pt idx="43">
                  <c:v>1201.3366613620979</c:v>
                </c:pt>
                <c:pt idx="44">
                  <c:v>1220.338944698422</c:v>
                </c:pt>
                <c:pt idx="45">
                  <c:v>1239.2487409323044</c:v>
                </c:pt>
                <c:pt idx="46">
                  <c:v>1258.0615603985784</c:v>
                </c:pt>
                <c:pt idx="47">
                  <c:v>1276.705568454571</c:v>
                </c:pt>
                <c:pt idx="48">
                  <c:v>1295.1760509518565</c:v>
                </c:pt>
                <c:pt idx="49">
                  <c:v>1313.4763751393107</c:v>
                </c:pt>
                <c:pt idx="50">
                  <c:v>1331.6209079454679</c:v>
                </c:pt>
              </c:numCache>
              <c:extLst xmlns:c15="http://schemas.microsoft.com/office/drawing/2012/chart"/>
            </c:numRef>
          </c:val>
          <c:extLst xmlns:c15="http://schemas.microsoft.com/office/drawing/2012/chart">
            <c:ext xmlns:c16="http://schemas.microsoft.com/office/drawing/2014/chart" uri="{C3380CC4-5D6E-409C-BE32-E72D297353CC}">
              <c16:uniqueId val="{00000006-2405-1A45-AC66-9630C90E6FAC}"/>
            </c:ext>
          </c:extLst>
        </c:ser>
        <c:ser>
          <c:idx val="9"/>
          <c:order val="8"/>
          <c:tx>
            <c:v>Gasolina de aviação</c:v>
          </c:tx>
          <c:spPr>
            <a:ln w="25400">
              <a:noFill/>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de energía'!$M$20:$BK$20</c:f>
              <c:numCache>
                <c:formatCode>_(* #,##0_);_(* \(#,##0\);_(* "-"??_);_(@_)</c:formatCode>
                <c:ptCount val="51"/>
                <c:pt idx="0">
                  <c:v>837.36</c:v>
                </c:pt>
                <c:pt idx="1">
                  <c:v>921.096</c:v>
                </c:pt>
                <c:pt idx="2">
                  <c:v>544.28399999999999</c:v>
                </c:pt>
                <c:pt idx="3">
                  <c:v>334.94400000000002</c:v>
                </c:pt>
                <c:pt idx="4">
                  <c:v>418.68</c:v>
                </c:pt>
                <c:pt idx="5">
                  <c:v>544.28399999999999</c:v>
                </c:pt>
                <c:pt idx="6">
                  <c:v>586.15200000000004</c:v>
                </c:pt>
                <c:pt idx="7">
                  <c:v>334.94400000000002</c:v>
                </c:pt>
                <c:pt idx="8">
                  <c:v>334.94400000000002</c:v>
                </c:pt>
                <c:pt idx="9">
                  <c:v>376.81200000000001</c:v>
                </c:pt>
                <c:pt idx="10">
                  <c:v>502.41600000000005</c:v>
                </c:pt>
                <c:pt idx="11">
                  <c:v>544.28399999999999</c:v>
                </c:pt>
                <c:pt idx="12">
                  <c:v>586.15200000000004</c:v>
                </c:pt>
                <c:pt idx="13">
                  <c:v>502.41600000000005</c:v>
                </c:pt>
                <c:pt idx="14">
                  <c:v>460.548</c:v>
                </c:pt>
                <c:pt idx="15">
                  <c:v>376.81200000000001</c:v>
                </c:pt>
                <c:pt idx="16">
                  <c:v>334.94400000000002</c:v>
                </c:pt>
                <c:pt idx="17">
                  <c:v>293.07600000000002</c:v>
                </c:pt>
                <c:pt idx="18">
                  <c:v>293.07600000000002</c:v>
                </c:pt>
                <c:pt idx="19">
                  <c:v>293.2450027824637</c:v>
                </c:pt>
                <c:pt idx="20">
                  <c:v>293.41400556492732</c:v>
                </c:pt>
                <c:pt idx="21">
                  <c:v>293.58300834739094</c:v>
                </c:pt>
                <c:pt idx="22">
                  <c:v>293.75201112985462</c:v>
                </c:pt>
                <c:pt idx="23">
                  <c:v>293.92101391231824</c:v>
                </c:pt>
                <c:pt idx="24">
                  <c:v>294.09001669478187</c:v>
                </c:pt>
                <c:pt idx="25">
                  <c:v>294.25901947724554</c:v>
                </c:pt>
                <c:pt idx="26">
                  <c:v>294.42802225970922</c:v>
                </c:pt>
                <c:pt idx="27">
                  <c:v>300.52760652792443</c:v>
                </c:pt>
                <c:pt idx="28">
                  <c:v>306.5859607043555</c:v>
                </c:pt>
                <c:pt idx="29">
                  <c:v>312.63847831606932</c:v>
                </c:pt>
                <c:pt idx="30">
                  <c:v>318.70566216732897</c:v>
                </c:pt>
                <c:pt idx="31">
                  <c:v>324.80068194262441</c:v>
                </c:pt>
                <c:pt idx="32">
                  <c:v>330.93131972824506</c:v>
                </c:pt>
                <c:pt idx="33">
                  <c:v>337.10199036160543</c:v>
                </c:pt>
                <c:pt idx="34">
                  <c:v>343.31516315854725</c:v>
                </c:pt>
                <c:pt idx="35">
                  <c:v>349.57113743008176</c:v>
                </c:pt>
                <c:pt idx="36">
                  <c:v>355.86826696564754</c:v>
                </c:pt>
                <c:pt idx="37">
                  <c:v>362.20093968378603</c:v>
                </c:pt>
                <c:pt idx="38">
                  <c:v>368.56055039292681</c:v>
                </c:pt>
                <c:pt idx="39">
                  <c:v>374.93729665745519</c:v>
                </c:pt>
                <c:pt idx="40">
                  <c:v>381.32227397478988</c:v>
                </c:pt>
                <c:pt idx="41">
                  <c:v>387.7080743974052</c:v>
                </c:pt>
                <c:pt idx="42">
                  <c:v>394.08564376721421</c:v>
                </c:pt>
                <c:pt idx="43">
                  <c:v>400.44555378736612</c:v>
                </c:pt>
                <c:pt idx="44">
                  <c:v>406.77964823280746</c:v>
                </c:pt>
                <c:pt idx="45">
                  <c:v>413.08291364410155</c:v>
                </c:pt>
                <c:pt idx="46">
                  <c:v>419.3538534661929</c:v>
                </c:pt>
                <c:pt idx="47">
                  <c:v>425.56852281819044</c:v>
                </c:pt>
                <c:pt idx="48">
                  <c:v>431.72535031728569</c:v>
                </c:pt>
                <c:pt idx="49">
                  <c:v>437.8254583797704</c:v>
                </c:pt>
                <c:pt idx="50">
                  <c:v>443.87363598182282</c:v>
                </c:pt>
              </c:numCache>
              <c:extLst/>
            </c:numRef>
          </c:val>
          <c:extLst>
            <c:ext xmlns:c16="http://schemas.microsoft.com/office/drawing/2014/chart" uri="{C3380CC4-5D6E-409C-BE32-E72D297353CC}">
              <c16:uniqueId val="{00000007-2405-1A45-AC66-9630C90E6FAC}"/>
            </c:ext>
          </c:extLst>
        </c:ser>
        <c:ser>
          <c:idx val="5"/>
          <c:order val="9"/>
          <c:tx>
            <c:v>Querosene para aviação</c:v>
          </c:tx>
          <c:spPr>
            <a:solidFill>
              <a:schemeClr val="accent2">
                <a:lumMod val="75000"/>
              </a:schemeClr>
            </a:solidFill>
            <a:ln w="25400">
              <a:noFill/>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de energía'!$M$21:$BK$21</c:f>
              <c:numCache>
                <c:formatCode>_(* #,##0_);_(* \(#,##0\);_(* "-"??_);_(@_)</c:formatCode>
                <c:ptCount val="51"/>
                <c:pt idx="0">
                  <c:v>64895.4</c:v>
                </c:pt>
                <c:pt idx="1">
                  <c:v>54637.740000000005</c:v>
                </c:pt>
                <c:pt idx="2">
                  <c:v>58112.784000000007</c:v>
                </c:pt>
                <c:pt idx="3">
                  <c:v>65816.495999999999</c:v>
                </c:pt>
                <c:pt idx="4">
                  <c:v>67993.631999999998</c:v>
                </c:pt>
                <c:pt idx="5">
                  <c:v>71468.676000000007</c:v>
                </c:pt>
                <c:pt idx="6">
                  <c:v>68161.104000000007</c:v>
                </c:pt>
                <c:pt idx="7">
                  <c:v>73436.472000000009</c:v>
                </c:pt>
                <c:pt idx="8">
                  <c:v>79381.728000000003</c:v>
                </c:pt>
                <c:pt idx="9">
                  <c:v>78418.76400000001</c:v>
                </c:pt>
                <c:pt idx="10">
                  <c:v>88299.612000000008</c:v>
                </c:pt>
                <c:pt idx="11">
                  <c:v>95752.116000000009</c:v>
                </c:pt>
                <c:pt idx="12">
                  <c:v>97803.648000000001</c:v>
                </c:pt>
                <c:pt idx="13">
                  <c:v>98682.876000000004</c:v>
                </c:pt>
                <c:pt idx="14">
                  <c:v>104502.52800000001</c:v>
                </c:pt>
                <c:pt idx="15">
                  <c:v>103288.356</c:v>
                </c:pt>
                <c:pt idx="16">
                  <c:v>97175.628000000012</c:v>
                </c:pt>
                <c:pt idx="17">
                  <c:v>97887.384000000005</c:v>
                </c:pt>
                <c:pt idx="18">
                  <c:v>108940.53600000001</c:v>
                </c:pt>
                <c:pt idx="19">
                  <c:v>109003.35674856721</c:v>
                </c:pt>
                <c:pt idx="20">
                  <c:v>109066.17749713441</c:v>
                </c:pt>
                <c:pt idx="21">
                  <c:v>109128.99824570162</c:v>
                </c:pt>
                <c:pt idx="22">
                  <c:v>109191.81899426882</c:v>
                </c:pt>
                <c:pt idx="23">
                  <c:v>109254.63974283602</c:v>
                </c:pt>
                <c:pt idx="24">
                  <c:v>109317.46049140322</c:v>
                </c:pt>
                <c:pt idx="25">
                  <c:v>109380.28123997041</c:v>
                </c:pt>
                <c:pt idx="26">
                  <c:v>109443.10198853764</c:v>
                </c:pt>
                <c:pt idx="27">
                  <c:v>111710.40459795136</c:v>
                </c:pt>
                <c:pt idx="28">
                  <c:v>113962.38139324759</c:v>
                </c:pt>
                <c:pt idx="29">
                  <c:v>116212.18865405893</c:v>
                </c:pt>
                <c:pt idx="30">
                  <c:v>118467.44756562715</c:v>
                </c:pt>
                <c:pt idx="31">
                  <c:v>120733.05348781553</c:v>
                </c:pt>
                <c:pt idx="32">
                  <c:v>123011.89913327053</c:v>
                </c:pt>
                <c:pt idx="33">
                  <c:v>125305.6255601282</c:v>
                </c:pt>
                <c:pt idx="34">
                  <c:v>127615.15064836288</c:v>
                </c:pt>
                <c:pt idx="35">
                  <c:v>129940.58565615326</c:v>
                </c:pt>
                <c:pt idx="36">
                  <c:v>132281.31866351643</c:v>
                </c:pt>
                <c:pt idx="37">
                  <c:v>134635.26357960163</c:v>
                </c:pt>
                <c:pt idx="38">
                  <c:v>136999.22173177081</c:v>
                </c:pt>
                <c:pt idx="39">
                  <c:v>139369.54941467123</c:v>
                </c:pt>
                <c:pt idx="40">
                  <c:v>141742.93669748618</c:v>
                </c:pt>
                <c:pt idx="41">
                  <c:v>144116.62994029259</c:v>
                </c:pt>
                <c:pt idx="42">
                  <c:v>146487.26358318445</c:v>
                </c:pt>
                <c:pt idx="43">
                  <c:v>148851.33299353236</c:v>
                </c:pt>
                <c:pt idx="44">
                  <c:v>151205.80638596643</c:v>
                </c:pt>
                <c:pt idx="45">
                  <c:v>153548.82018599319</c:v>
                </c:pt>
                <c:pt idx="46">
                  <c:v>155879.81810271915</c:v>
                </c:pt>
                <c:pt idx="47">
                  <c:v>158189.89948184739</c:v>
                </c:pt>
                <c:pt idx="48">
                  <c:v>160478.48021793965</c:v>
                </c:pt>
                <c:pt idx="49">
                  <c:v>162745.97752916612</c:v>
                </c:pt>
                <c:pt idx="50">
                  <c:v>164994.17154638618</c:v>
                </c:pt>
              </c:numCache>
              <c:extLst/>
            </c:numRef>
          </c:val>
          <c:extLst>
            <c:ext xmlns:c16="http://schemas.microsoft.com/office/drawing/2014/chart" uri="{C3380CC4-5D6E-409C-BE32-E72D297353CC}">
              <c16:uniqueId val="{00000008-2405-1A45-AC66-9630C90E6FAC}"/>
            </c:ext>
          </c:extLst>
        </c:ser>
        <c:ser>
          <c:idx val="7"/>
          <c:order val="10"/>
          <c:tx>
            <c:v>Diesel ferroviário</c:v>
          </c:tx>
          <c:spPr>
            <a:solidFill>
              <a:schemeClr val="accent2">
                <a:lumMod val="60000"/>
                <a:lumOff val="40000"/>
              </a:schemeClr>
            </a:solidFill>
            <a:ln w="25400">
              <a:noFill/>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de energía'!$M$22:$BK$22</c:f>
              <c:numCache>
                <c:formatCode>_(* #,##0_);_(* \(#,##0\);_(* "-"??_);_(@_)</c:formatCode>
                <c:ptCount val="51"/>
                <c:pt idx="0">
                  <c:v>3014.4960000000001</c:v>
                </c:pt>
                <c:pt idx="1">
                  <c:v>4396.1400000000003</c:v>
                </c:pt>
                <c:pt idx="2">
                  <c:v>4814.8200000000006</c:v>
                </c:pt>
                <c:pt idx="3">
                  <c:v>5275.3680000000004</c:v>
                </c:pt>
                <c:pt idx="4">
                  <c:v>5024.16</c:v>
                </c:pt>
                <c:pt idx="5">
                  <c:v>5317.2359999999999</c:v>
                </c:pt>
                <c:pt idx="6">
                  <c:v>5263.3850115738242</c:v>
                </c:pt>
                <c:pt idx="7">
                  <c:v>5297.228094782874</c:v>
                </c:pt>
                <c:pt idx="8">
                  <c:v>6005.4669237735852</c:v>
                </c:pt>
                <c:pt idx="9">
                  <c:v>6506.5134051154328</c:v>
                </c:pt>
                <c:pt idx="10">
                  <c:v>5979.1336728857896</c:v>
                </c:pt>
                <c:pt idx="11">
                  <c:v>8125.691180149217</c:v>
                </c:pt>
                <c:pt idx="12">
                  <c:v>10251.882575839569</c:v>
                </c:pt>
                <c:pt idx="13">
                  <c:v>9260.6088922935505</c:v>
                </c:pt>
                <c:pt idx="14">
                  <c:v>9915.4574037489292</c:v>
                </c:pt>
                <c:pt idx="15">
                  <c:v>9775.6772834017884</c:v>
                </c:pt>
                <c:pt idx="16">
                  <c:v>8483.9226350108675</c:v>
                </c:pt>
                <c:pt idx="17">
                  <c:v>9627.6083133487919</c:v>
                </c:pt>
                <c:pt idx="18">
                  <c:v>11168.589042504118</c:v>
                </c:pt>
                <c:pt idx="19">
                  <c:v>11175.029428698743</c:v>
                </c:pt>
                <c:pt idx="20">
                  <c:v>11181.469814893369</c:v>
                </c:pt>
                <c:pt idx="21">
                  <c:v>11187.910201087994</c:v>
                </c:pt>
                <c:pt idx="22">
                  <c:v>11194.350587282621</c:v>
                </c:pt>
                <c:pt idx="23">
                  <c:v>11200.790973477246</c:v>
                </c:pt>
                <c:pt idx="24">
                  <c:v>11207.231359671872</c:v>
                </c:pt>
                <c:pt idx="25">
                  <c:v>11213.671745866497</c:v>
                </c:pt>
                <c:pt idx="26">
                  <c:v>11220.112132061126</c:v>
                </c:pt>
                <c:pt idx="27">
                  <c:v>11452.556105712394</c:v>
                </c:pt>
                <c:pt idx="28">
                  <c:v>11683.428876155886</c:v>
                </c:pt>
                <c:pt idx="29">
                  <c:v>11914.079225818603</c:v>
                </c:pt>
                <c:pt idx="30">
                  <c:v>12145.288478981729</c:v>
                </c:pt>
                <c:pt idx="31">
                  <c:v>12377.558508176238</c:v>
                </c:pt>
                <c:pt idx="32">
                  <c:v>12611.185874443161</c:v>
                </c:pt>
                <c:pt idx="33">
                  <c:v>12846.33881914232</c:v>
                </c:pt>
                <c:pt idx="34">
                  <c:v>13083.111443373267</c:v>
                </c:pt>
                <c:pt idx="35">
                  <c:v>13321.515153329892</c:v>
                </c:pt>
                <c:pt idx="36">
                  <c:v>13561.487214945819</c:v>
                </c:pt>
                <c:pt idx="37">
                  <c:v>13802.813762085694</c:v>
                </c:pt>
                <c:pt idx="38">
                  <c:v>14045.166866675294</c:v>
                </c:pt>
                <c:pt idx="39">
                  <c:v>14288.17297586486</c:v>
                </c:pt>
                <c:pt idx="40">
                  <c:v>14531.492755386284</c:v>
                </c:pt>
                <c:pt idx="41">
                  <c:v>14774.843901940896</c:v>
                </c:pt>
                <c:pt idx="42">
                  <c:v>15017.881378163645</c:v>
                </c:pt>
                <c:pt idx="43">
                  <c:v>15260.245888947133</c:v>
                </c:pt>
                <c:pt idx="44">
                  <c:v>15501.626615507963</c:v>
                </c:pt>
                <c:pt idx="45">
                  <c:v>15741.832504098551</c:v>
                </c:pt>
                <c:pt idx="46">
                  <c:v>15980.806523749468</c:v>
                </c:pt>
                <c:pt idx="47">
                  <c:v>16217.636178949844</c:v>
                </c:pt>
                <c:pt idx="48">
                  <c:v>16452.26158718178</c:v>
                </c:pt>
                <c:pt idx="49">
                  <c:v>16684.72552167235</c:v>
                </c:pt>
                <c:pt idx="50">
                  <c:v>16915.210481523725</c:v>
                </c:pt>
              </c:numCache>
              <c:extLst/>
            </c:numRef>
          </c:val>
          <c:extLst>
            <c:ext xmlns:c16="http://schemas.microsoft.com/office/drawing/2014/chart" uri="{C3380CC4-5D6E-409C-BE32-E72D297353CC}">
              <c16:uniqueId val="{00000009-2405-1A45-AC66-9630C90E6FAC}"/>
            </c:ext>
          </c:extLst>
        </c:ser>
        <c:ser>
          <c:idx val="6"/>
          <c:order val="11"/>
          <c:tx>
            <c:v>Biodiesel ferroviário</c:v>
          </c:tx>
          <c:spPr>
            <a:solidFill>
              <a:schemeClr val="accent3">
                <a:lumMod val="20000"/>
                <a:lumOff val="80000"/>
              </a:schemeClr>
            </a:solidFill>
            <a:ln w="25400">
              <a:noFill/>
            </a:ln>
          </c:spPr>
          <c:val>
            <c:numRef>
              <c:f>'8. Resumen de energía'!#REF!</c:f>
              <c:numCache>
                <c:formatCode>General</c:formatCode>
                <c:ptCount val="1"/>
                <c:pt idx="0">
                  <c:v>1</c:v>
                </c:pt>
              </c:numCache>
            </c:numRef>
          </c:val>
          <c:extLst>
            <c:ext xmlns:c16="http://schemas.microsoft.com/office/drawing/2014/chart" uri="{C3380CC4-5D6E-409C-BE32-E72D297353CC}">
              <c16:uniqueId val="{0000000A-2405-1A45-AC66-9630C90E6FAC}"/>
            </c:ext>
          </c:extLst>
        </c:ser>
        <c:ser>
          <c:idx val="11"/>
          <c:order val="12"/>
          <c:tx>
            <c:v>Electricidade - rodovias e ferrovias</c:v>
          </c:tx>
          <c:spPr>
            <a:pattFill prst="pct25">
              <a:fgClr>
                <a:srgbClr val="0070C0"/>
              </a:fgClr>
              <a:bgClr>
                <a:prstClr val="white"/>
              </a:bgClr>
            </a:pattFill>
            <a:ln w="25400">
              <a:noFill/>
            </a:ln>
          </c:spPr>
          <c:cat>
            <c:numRef>
              <c:f>'8. Resumen de energía'!$M$13:$BK$13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de energía'!$M$27:$BK$27</c:f>
              <c:numCache>
                <c:formatCode>_(* #,##0_);_(* \(#,##0\);_(* "-"??_);_(@_)</c:formatCode>
                <c:ptCount val="51"/>
                <c:pt idx="0">
                  <c:v>167.47200000000001</c:v>
                </c:pt>
                <c:pt idx="1">
                  <c:v>167.47200000000001</c:v>
                </c:pt>
                <c:pt idx="2">
                  <c:v>167.47200000000001</c:v>
                </c:pt>
                <c:pt idx="3">
                  <c:v>167.47200000000001</c:v>
                </c:pt>
                <c:pt idx="4">
                  <c:v>209.34</c:v>
                </c:pt>
                <c:pt idx="5">
                  <c:v>209.34</c:v>
                </c:pt>
                <c:pt idx="6">
                  <c:v>209.34</c:v>
                </c:pt>
                <c:pt idx="7">
                  <c:v>209.34</c:v>
                </c:pt>
                <c:pt idx="8">
                  <c:v>209.34</c:v>
                </c:pt>
                <c:pt idx="9">
                  <c:v>125.60400000000001</c:v>
                </c:pt>
                <c:pt idx="10">
                  <c:v>83.736000000000004</c:v>
                </c:pt>
                <c:pt idx="11">
                  <c:v>83.736000000000004</c:v>
                </c:pt>
                <c:pt idx="12">
                  <c:v>83.736000000000004</c:v>
                </c:pt>
                <c:pt idx="13">
                  <c:v>83.736000000000004</c:v>
                </c:pt>
                <c:pt idx="14">
                  <c:v>83.736000000000004</c:v>
                </c:pt>
                <c:pt idx="15">
                  <c:v>83.736000000000004</c:v>
                </c:pt>
                <c:pt idx="16">
                  <c:v>83.736000000000004</c:v>
                </c:pt>
                <c:pt idx="17">
                  <c:v>83.736000000000004</c:v>
                </c:pt>
                <c:pt idx="18">
                  <c:v>83.736000000000004</c:v>
                </c:pt>
                <c:pt idx="19">
                  <c:v>100.15780814126754</c:v>
                </c:pt>
                <c:pt idx="20">
                  <c:v>124.00093046562918</c:v>
                </c:pt>
                <c:pt idx="21">
                  <c:v>154.96222390042519</c:v>
                </c:pt>
                <c:pt idx="22">
                  <c:v>192.73854537299616</c:v>
                </c:pt>
                <c:pt idx="23">
                  <c:v>237.02675181068224</c:v>
                </c:pt>
                <c:pt idx="24">
                  <c:v>287.52370014082419</c:v>
                </c:pt>
                <c:pt idx="25">
                  <c:v>343.92624729076203</c:v>
                </c:pt>
                <c:pt idx="26">
                  <c:v>405.93125018783655</c:v>
                </c:pt>
                <c:pt idx="27">
                  <c:v>473.23556575938778</c:v>
                </c:pt>
                <c:pt idx="28">
                  <c:v>545.53605093275655</c:v>
                </c:pt>
                <c:pt idx="29">
                  <c:v>622.52956263528347</c:v>
                </c:pt>
                <c:pt idx="30">
                  <c:v>703.91295779430823</c:v>
                </c:pt>
                <c:pt idx="31">
                  <c:v>789.38309333717189</c:v>
                </c:pt>
                <c:pt idx="32">
                  <c:v>878.63682619121414</c:v>
                </c:pt>
                <c:pt idx="33">
                  <c:v>971.37101328377616</c:v>
                </c:pt>
                <c:pt idx="34">
                  <c:v>1067.2825115421977</c:v>
                </c:pt>
                <c:pt idx="35">
                  <c:v>1166.0681778938199</c:v>
                </c:pt>
                <c:pt idx="36">
                  <c:v>1267.4248692659821</c:v>
                </c:pt>
                <c:pt idx="37">
                  <c:v>1371.0494425860261</c:v>
                </c:pt>
                <c:pt idx="38">
                  <c:v>1476.6387547812908</c:v>
                </c:pt>
                <c:pt idx="39">
                  <c:v>1583.889662779118</c:v>
                </c:pt>
                <c:pt idx="40">
                  <c:v>1692.4990235068481</c:v>
                </c:pt>
                <c:pt idx="41">
                  <c:v>1802.1636938918202</c:v>
                </c:pt>
                <c:pt idx="42">
                  <c:v>1912.5805308613762</c:v>
                </c:pt>
                <c:pt idx="43">
                  <c:v>2023.4463913428551</c:v>
                </c:pt>
                <c:pt idx="44">
                  <c:v>2134.4581322635986</c:v>
                </c:pt>
                <c:pt idx="45">
                  <c:v>2245.3126105509459</c:v>
                </c:pt>
                <c:pt idx="46">
                  <c:v>2355.7066831322386</c:v>
                </c:pt>
                <c:pt idx="47">
                  <c:v>2465.3372069348156</c:v>
                </c:pt>
                <c:pt idx="48">
                  <c:v>2573.9010388860193</c:v>
                </c:pt>
                <c:pt idx="49">
                  <c:v>2681.0950359131898</c:v>
                </c:pt>
                <c:pt idx="50">
                  <c:v>2786.6160549436659</c:v>
                </c:pt>
              </c:numCache>
              <c:extLst/>
            </c:numRef>
          </c:val>
          <c:extLst>
            <c:ext xmlns:c16="http://schemas.microsoft.com/office/drawing/2014/chart" uri="{C3380CC4-5D6E-409C-BE32-E72D297353CC}">
              <c16:uniqueId val="{0000000B-2405-1A45-AC66-9630C90E6FAC}"/>
            </c:ext>
          </c:extLst>
        </c:ser>
        <c:dLbls>
          <c:showLegendKey val="0"/>
          <c:showVal val="0"/>
          <c:showCatName val="0"/>
          <c:showSerName val="0"/>
          <c:showPercent val="0"/>
          <c:showBubbleSize val="0"/>
        </c:dLbls>
        <c:axId val="-2138995400"/>
        <c:axId val="-2139010824"/>
        <c:extLst>
          <c:ext xmlns:c15="http://schemas.microsoft.com/office/drawing/2012/chart" uri="{02D57815-91ED-43cb-92C2-25804820EDAC}">
            <c15:filteredAreaSeries>
              <c15:ser>
                <c:idx val="12"/>
                <c:order val="5"/>
                <c:tx>
                  <c:v>Onroad LPG</c:v>
                </c:tx>
                <c:spPr>
                  <a:ln w="25400">
                    <a:noFill/>
                  </a:ln>
                </c:spPr>
                <c:cat>
                  <c:numRef>
                    <c:extLst>
                      <c:ext uri="{02D57815-91ED-43cb-92C2-25804820EDAC}">
                        <c15:formulaRef>
                          <c15:sqref>'8. Resumen de energía'!$M$13:$BK$13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c:ext uri="{02D57815-91ED-43cb-92C2-25804820EDAC}">
                        <c15:formulaRef>
                          <c15:sqref>'8. Resumen de energía'!$M$19:$BK$19</c15:sqref>
                        </c15:formulaRef>
                      </c:ext>
                    </c:extLst>
                    <c:numCache>
                      <c:formatCode>_(* #,##0_);_(* \(#,##0\);_(*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C-2405-1A45-AC66-9630C90E6FAC}"/>
                  </c:ext>
                </c:extLst>
              </c15:ser>
            </c15:filteredAreaSeries>
          </c:ext>
        </c:extLst>
      </c:areaChart>
      <c:catAx>
        <c:axId val="-2138995400"/>
        <c:scaling>
          <c:orientation val="minMax"/>
        </c:scaling>
        <c:delete val="0"/>
        <c:axPos val="b"/>
        <c:numFmt formatCode="General" sourceLinked="1"/>
        <c:majorTickMark val="out"/>
        <c:minorTickMark val="none"/>
        <c:tickLblPos val="nextTo"/>
        <c:spPr>
          <a:ln/>
        </c:spPr>
        <c:txPr>
          <a:bodyPr rot="0" vert="horz"/>
          <a:lstStyle/>
          <a:p>
            <a:pPr>
              <a:defRPr>
                <a:solidFill>
                  <a:schemeClr val="accent1">
                    <a:lumMod val="50000"/>
                  </a:schemeClr>
                </a:solidFill>
              </a:defRPr>
            </a:pPr>
            <a:endParaRPr lang="en-US"/>
          </a:p>
        </c:txPr>
        <c:crossAx val="-2139010824"/>
        <c:crosses val="autoZero"/>
        <c:auto val="1"/>
        <c:lblAlgn val="ctr"/>
        <c:lblOffset val="100"/>
        <c:tickLblSkip val="5"/>
        <c:tickMarkSkip val="5"/>
        <c:noMultiLvlLbl val="0"/>
      </c:catAx>
      <c:valAx>
        <c:axId val="-2139010824"/>
        <c:scaling>
          <c:orientation val="minMax"/>
        </c:scaling>
        <c:delete val="0"/>
        <c:axPos val="l"/>
        <c:majorGridlines/>
        <c:title>
          <c:tx>
            <c:rich>
              <a:bodyPr/>
              <a:lstStyle/>
              <a:p>
                <a:pPr>
                  <a:defRPr sz="1100"/>
                </a:pPr>
                <a:r>
                  <a:rPr lang="es-ES" sz="1100" b="1" i="0" baseline="0">
                    <a:effectLst/>
                  </a:rPr>
                  <a:t>Energía de transporte </a:t>
                </a:r>
              </a:p>
              <a:p>
                <a:pPr>
                  <a:defRPr sz="1100"/>
                </a:pPr>
                <a:r>
                  <a:rPr lang="es-ES" sz="1100" b="1" i="0" baseline="0">
                    <a:effectLst/>
                  </a:rPr>
                  <a:t>(</a:t>
                </a:r>
                <a:r>
                  <a:rPr lang="pt-PT" sz="1100" b="1" i="0" u="none" strike="noStrike" baseline="0"/>
                  <a:t>milhões</a:t>
                </a:r>
                <a:r>
                  <a:rPr lang="es-ES" sz="1100" b="1" i="0" baseline="0">
                    <a:effectLst/>
                  </a:rPr>
                  <a:t> de TJ)</a:t>
                </a:r>
                <a:endParaRPr lang="es-ES" sz="1100">
                  <a:effectLst/>
                </a:endParaRPr>
              </a:p>
            </c:rich>
          </c:tx>
          <c:layout>
            <c:manualLayout>
              <c:xMode val="edge"/>
              <c:yMode val="edge"/>
              <c:x val="1.2329311845288885E-2"/>
              <c:y val="0.24438497703111928"/>
            </c:manualLayout>
          </c:layout>
          <c:overlay val="0"/>
        </c:title>
        <c:numFmt formatCode="#,##0.0" sourceLinked="0"/>
        <c:majorTickMark val="out"/>
        <c:minorTickMark val="none"/>
        <c:tickLblPos val="nextTo"/>
        <c:spPr>
          <a:ln/>
        </c:spPr>
        <c:txPr>
          <a:bodyPr rot="0" vert="horz"/>
          <a:lstStyle/>
          <a:p>
            <a:pPr>
              <a:defRPr>
                <a:solidFill>
                  <a:schemeClr val="accent1">
                    <a:lumMod val="50000"/>
                  </a:schemeClr>
                </a:solidFill>
              </a:defRPr>
            </a:pPr>
            <a:endParaRPr lang="en-US"/>
          </a:p>
        </c:txPr>
        <c:crossAx val="-2138995400"/>
        <c:crosses val="autoZero"/>
        <c:crossBetween val="midCat"/>
        <c:dispUnits>
          <c:builtInUnit val="millions"/>
        </c:dispUnits>
      </c:valAx>
    </c:plotArea>
    <c:legend>
      <c:legendPos val="r"/>
      <c:layout>
        <c:manualLayout>
          <c:xMode val="edge"/>
          <c:yMode val="edge"/>
          <c:x val="0.12799698508769941"/>
          <c:y val="6.0018946139913452E-2"/>
          <c:w val="0.75339134015294396"/>
          <c:h val="0.30812540305565955"/>
        </c:manualLayout>
      </c:layout>
      <c:overlay val="0"/>
      <c:spPr>
        <a:noFill/>
      </c:spPr>
      <c:txPr>
        <a:bodyPr/>
        <a:lstStyle/>
        <a:p>
          <a:pPr>
            <a:defRPr sz="900"/>
          </a:pPr>
          <a:endParaRPr lang="en-US"/>
        </a:p>
      </c:txPr>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a:t>PEB (1000 R$2019) vs. </a:t>
            </a:r>
            <a:r>
              <a:rPr lang="pt-PT" sz="1050" b="0" i="0" u="none" strike="noStrike" baseline="0"/>
              <a:t>Consumo de combustível de veículos rodoviários </a:t>
            </a:r>
            <a:r>
              <a:rPr lang="en-US" sz="1050"/>
              <a:t>(TJ)</a:t>
            </a: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2044794004446156"/>
                  <c:y val="6.327094177416242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'1. Combustibles - histórico'!$C$117:$R$117</c:f>
              <c:numCache>
                <c:formatCode>_(* #,##0_);_(* \(#,##0\);_(* "-"??_);_(@_)</c:formatCode>
                <c:ptCount val="16"/>
                <c:pt idx="0">
                  <c:v>1761515760.1208625</c:v>
                </c:pt>
                <c:pt idx="1">
                  <c:v>1759908631.6932197</c:v>
                </c:pt>
                <c:pt idx="2">
                  <c:v>1803130513.0615013</c:v>
                </c:pt>
                <c:pt idx="3">
                  <c:v>1909971667.5253932</c:v>
                </c:pt>
                <c:pt idx="4">
                  <c:v>1984963271.6955945</c:v>
                </c:pt>
                <c:pt idx="5">
                  <c:v>2116217685.7706707</c:v>
                </c:pt>
                <c:pt idx="6">
                  <c:v>2167616582.599988</c:v>
                </c:pt>
                <c:pt idx="7">
                  <c:v>2183775284.9210386</c:v>
                </c:pt>
                <c:pt idx="8">
                  <c:v>2313624651.7014093</c:v>
                </c:pt>
                <c:pt idx="9">
                  <c:v>2370172395.168335</c:v>
                </c:pt>
                <c:pt idx="10">
                  <c:v>2382772233.0969357</c:v>
                </c:pt>
                <c:pt idx="11">
                  <c:v>2438511292.9369144</c:v>
                </c:pt>
                <c:pt idx="12">
                  <c:v>2449541227.8763638</c:v>
                </c:pt>
                <c:pt idx="13">
                  <c:v>2377373071.0318618</c:v>
                </c:pt>
                <c:pt idx="14">
                  <c:v>2310452648.2511139</c:v>
                </c:pt>
                <c:pt idx="15">
                  <c:v>2322584663.8154731</c:v>
                </c:pt>
              </c:numCache>
            </c:numRef>
          </c:xVal>
          <c:yVal>
            <c:numRef>
              <c:f>'1. Combustibles - histórico'!$C$118:$R$118</c:f>
              <c:numCache>
                <c:formatCode>#,##0</c:formatCode>
                <c:ptCount val="16"/>
                <c:pt idx="0">
                  <c:v>516818.592</c:v>
                </c:pt>
                <c:pt idx="1">
                  <c:v>495842.72400000005</c:v>
                </c:pt>
                <c:pt idx="2">
                  <c:v>523056.92400000006</c:v>
                </c:pt>
                <c:pt idx="3">
                  <c:v>539762.25599999994</c:v>
                </c:pt>
                <c:pt idx="4">
                  <c:v>565123.01013520826</c:v>
                </c:pt>
                <c:pt idx="5">
                  <c:v>631641.89069826109</c:v>
                </c:pt>
                <c:pt idx="6">
                  <c:v>689230.52622339618</c:v>
                </c:pt>
                <c:pt idx="7">
                  <c:v>702707.5066102118</c:v>
                </c:pt>
                <c:pt idx="8">
                  <c:v>749421.71577541414</c:v>
                </c:pt>
                <c:pt idx="9">
                  <c:v>782879.03423287801</c:v>
                </c:pt>
                <c:pt idx="10">
                  <c:v>812096.94675632659</c:v>
                </c:pt>
                <c:pt idx="11">
                  <c:v>841444.16663091769</c:v>
                </c:pt>
                <c:pt idx="12">
                  <c:v>869547.27954203938</c:v>
                </c:pt>
                <c:pt idx="13">
                  <c:v>858539.05778400588</c:v>
                </c:pt>
                <c:pt idx="14">
                  <c:v>837001.83644541062</c:v>
                </c:pt>
                <c:pt idx="15">
                  <c:v>844368.51459291158</c:v>
                </c:pt>
              </c:numCache>
            </c:numRef>
          </c:yVal>
          <c:smooth val="0"/>
          <c:extLst>
            <c:ext xmlns:c16="http://schemas.microsoft.com/office/drawing/2014/chart" uri="{C3380CC4-5D6E-409C-BE32-E72D297353CC}">
              <c16:uniqueId val="{00000001-41E9-9F41-BE67-CD480C9EBAA2}"/>
            </c:ext>
          </c:extLst>
        </c:ser>
        <c:dLbls>
          <c:showLegendKey val="0"/>
          <c:showVal val="0"/>
          <c:showCatName val="0"/>
          <c:showSerName val="0"/>
          <c:showPercent val="0"/>
          <c:showBubbleSize val="0"/>
        </c:dLbls>
        <c:axId val="593174072"/>
        <c:axId val="593168824"/>
      </c:scatterChart>
      <c:valAx>
        <c:axId val="593174072"/>
        <c:scaling>
          <c:orientation val="minMax"/>
          <c:min val="1500000000"/>
        </c:scaling>
        <c:delete val="0"/>
        <c:axPos val="b"/>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3168824"/>
        <c:crosses val="autoZero"/>
        <c:crossBetween val="midCat"/>
      </c:valAx>
      <c:valAx>
        <c:axId val="593168824"/>
        <c:scaling>
          <c:orientation val="minMax"/>
          <c:min val="2500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317407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a:t>GSP (1000 R$2019) vs. energia em ferrovias, aeronaves e embarcações marítimas (TJ)</a:t>
            </a: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429131549172189"/>
          <c:y val="0.15233069481090589"/>
          <c:w val="0.80373796383956408"/>
          <c:h val="0.74565405577600952"/>
        </c:manualLayout>
      </c:layout>
      <c:scatterChart>
        <c:scatterStyle val="lineMarker"/>
        <c:varyColors val="0"/>
        <c:ser>
          <c:idx val="0"/>
          <c:order val="0"/>
          <c:tx>
            <c:v>Nonroad Fuels</c:v>
          </c:tx>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27904917085740916"/>
                  <c:y val="2.8938286174752729E-3"/>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'1. Combustibles - histórico'!$C$117:$R$117</c:f>
              <c:numCache>
                <c:formatCode>_(* #,##0_);_(* \(#,##0\);_(* "-"??_);_(@_)</c:formatCode>
                <c:ptCount val="16"/>
                <c:pt idx="0">
                  <c:v>1761515760.1208625</c:v>
                </c:pt>
                <c:pt idx="1">
                  <c:v>1759908631.6932197</c:v>
                </c:pt>
                <c:pt idx="2">
                  <c:v>1803130513.0615013</c:v>
                </c:pt>
                <c:pt idx="3">
                  <c:v>1909971667.5253932</c:v>
                </c:pt>
                <c:pt idx="4">
                  <c:v>1984963271.6955945</c:v>
                </c:pt>
                <c:pt idx="5">
                  <c:v>2116217685.7706707</c:v>
                </c:pt>
                <c:pt idx="6">
                  <c:v>2167616582.599988</c:v>
                </c:pt>
                <c:pt idx="7">
                  <c:v>2183775284.9210386</c:v>
                </c:pt>
                <c:pt idx="8">
                  <c:v>2313624651.7014093</c:v>
                </c:pt>
                <c:pt idx="9">
                  <c:v>2370172395.168335</c:v>
                </c:pt>
                <c:pt idx="10">
                  <c:v>2382772233.0969357</c:v>
                </c:pt>
                <c:pt idx="11">
                  <c:v>2438511292.9369144</c:v>
                </c:pt>
                <c:pt idx="12">
                  <c:v>2449541227.8763638</c:v>
                </c:pt>
                <c:pt idx="13">
                  <c:v>2377373071.0318618</c:v>
                </c:pt>
                <c:pt idx="14">
                  <c:v>2310452648.2511139</c:v>
                </c:pt>
                <c:pt idx="15">
                  <c:v>2322584663.8154731</c:v>
                </c:pt>
              </c:numCache>
            </c:numRef>
          </c:xVal>
          <c:yVal>
            <c:numRef>
              <c:f>'1. Combustibles - histórico'!$C$119:$R$119</c:f>
              <c:numCache>
                <c:formatCode>#,##0</c:formatCode>
                <c:ptCount val="16"/>
                <c:pt idx="0">
                  <c:v>87587.855999999971</c:v>
                </c:pt>
                <c:pt idx="1">
                  <c:v>91146.636000000057</c:v>
                </c:pt>
                <c:pt idx="2">
                  <c:v>90979.164000000048</c:v>
                </c:pt>
                <c:pt idx="3">
                  <c:v>92151.467999999993</c:v>
                </c:pt>
                <c:pt idx="4">
                  <c:v>84447.756000000052</c:v>
                </c:pt>
                <c:pt idx="5">
                  <c:v>88634.555999999866</c:v>
                </c:pt>
                <c:pt idx="6">
                  <c:v>95165.96399999992</c:v>
                </c:pt>
                <c:pt idx="7">
                  <c:v>94621.679999999935</c:v>
                </c:pt>
                <c:pt idx="8">
                  <c:v>103204.62</c:v>
                </c:pt>
                <c:pt idx="9">
                  <c:v>110950.19999999995</c:v>
                </c:pt>
                <c:pt idx="10">
                  <c:v>115011.39600000007</c:v>
                </c:pt>
                <c:pt idx="11">
                  <c:v>114843.924</c:v>
                </c:pt>
                <c:pt idx="12">
                  <c:v>121333.46400000004</c:v>
                </c:pt>
                <c:pt idx="13">
                  <c:v>119616.87600000005</c:v>
                </c:pt>
                <c:pt idx="14">
                  <c:v>111536.35200000007</c:v>
                </c:pt>
                <c:pt idx="15">
                  <c:v>113336.67600000009</c:v>
                </c:pt>
              </c:numCache>
            </c:numRef>
          </c:yVal>
          <c:smooth val="0"/>
          <c:extLst>
            <c:ext xmlns:c16="http://schemas.microsoft.com/office/drawing/2014/chart" uri="{C3380CC4-5D6E-409C-BE32-E72D297353CC}">
              <c16:uniqueId val="{00000001-6574-8C4D-A410-80FD0C0CF064}"/>
            </c:ext>
          </c:extLst>
        </c:ser>
        <c:dLbls>
          <c:showLegendKey val="0"/>
          <c:showVal val="0"/>
          <c:showCatName val="0"/>
          <c:showSerName val="0"/>
          <c:showPercent val="0"/>
          <c:showBubbleSize val="0"/>
        </c:dLbls>
        <c:axId val="593174072"/>
        <c:axId val="593168824"/>
      </c:scatterChart>
      <c:valAx>
        <c:axId val="593174072"/>
        <c:scaling>
          <c:orientation val="minMax"/>
          <c:min val="1500000000"/>
        </c:scaling>
        <c:delete val="0"/>
        <c:axPos val="b"/>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3168824"/>
        <c:crosses val="autoZero"/>
        <c:crossBetween val="midCat"/>
      </c:valAx>
      <c:valAx>
        <c:axId val="593168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317407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722129072443388"/>
          <c:y val="5.0623052959501501E-2"/>
          <c:w val="0.84701535895427194"/>
          <c:h val="0.85067517845316099"/>
        </c:manualLayout>
      </c:layout>
      <c:areaChart>
        <c:grouping val="stacked"/>
        <c:varyColors val="0"/>
        <c:ser>
          <c:idx val="0"/>
          <c:order val="0"/>
          <c:tx>
            <c:strRef>
              <c:f>'10. Emisiones consumo-basadas'!$C$24</c:f>
              <c:strCache>
                <c:ptCount val="1"/>
                <c:pt idx="0">
                  <c:v>Veículos a gasolina</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consumo-basadas'!$N$24:$BL$24</c:f>
              <c:numCache>
                <c:formatCode>#,##0.0_);\(#,##0.0\)</c:formatCode>
                <c:ptCount val="51"/>
                <c:pt idx="0">
                  <c:v>13.373046056476801</c:v>
                </c:pt>
                <c:pt idx="1">
                  <c:v>13.126606708633201</c:v>
                </c:pt>
                <c:pt idx="2">
                  <c:v>12.360566326179601</c:v>
                </c:pt>
                <c:pt idx="3">
                  <c:v>11.695477001878798</c:v>
                </c:pt>
                <c:pt idx="4">
                  <c:v>11.7993972088008</c:v>
                </c:pt>
                <c:pt idx="5">
                  <c:v>12.185386548796801</c:v>
                </c:pt>
                <c:pt idx="6">
                  <c:v>12.2358620778732</c:v>
                </c:pt>
                <c:pt idx="7">
                  <c:v>12.428856747871201</c:v>
                </c:pt>
                <c:pt idx="8">
                  <c:v>12.197263143873601</c:v>
                </c:pt>
                <c:pt idx="9">
                  <c:v>11.484667439265602</c:v>
                </c:pt>
                <c:pt idx="10">
                  <c:v>12.749524814944801</c:v>
                </c:pt>
                <c:pt idx="11">
                  <c:v>16.1848299409092</c:v>
                </c:pt>
                <c:pt idx="12">
                  <c:v>18.851125535650805</c:v>
                </c:pt>
                <c:pt idx="13">
                  <c:v>17.945535161044802</c:v>
                </c:pt>
                <c:pt idx="14">
                  <c:v>18.601717039038</c:v>
                </c:pt>
                <c:pt idx="15">
                  <c:v>16.18186079214</c:v>
                </c:pt>
                <c:pt idx="16">
                  <c:v>16.674739487827203</c:v>
                </c:pt>
                <c:pt idx="17">
                  <c:v>17.479378804280401</c:v>
                </c:pt>
                <c:pt idx="18">
                  <c:v>14.061888570931199</c:v>
                </c:pt>
                <c:pt idx="19">
                  <c:v>16.746916943749547</c:v>
                </c:pt>
                <c:pt idx="20">
                  <c:v>16.694116950643735</c:v>
                </c:pt>
                <c:pt idx="21">
                  <c:v>16.635853419258815</c:v>
                </c:pt>
                <c:pt idx="22">
                  <c:v>16.572161243245045</c:v>
                </c:pt>
                <c:pt idx="23">
                  <c:v>17.067314931034478</c:v>
                </c:pt>
                <c:pt idx="24">
                  <c:v>17.470384270507626</c:v>
                </c:pt>
                <c:pt idx="25">
                  <c:v>17.817017673953057</c:v>
                </c:pt>
                <c:pt idx="26">
                  <c:v>18.12617335691013</c:v>
                </c:pt>
                <c:pt idx="27">
                  <c:v>18.407610607304274</c:v>
                </c:pt>
                <c:pt idx="28">
                  <c:v>18.66756057932632</c:v>
                </c:pt>
                <c:pt idx="29">
                  <c:v>19.214003341102533</c:v>
                </c:pt>
                <c:pt idx="30">
                  <c:v>19.761551483219087</c:v>
                </c:pt>
                <c:pt idx="31">
                  <c:v>20.311418505272236</c:v>
                </c:pt>
                <c:pt idx="32">
                  <c:v>20.864327928823599</c:v>
                </c:pt>
                <c:pt idx="33">
                  <c:v>21.42069703916312</c:v>
                </c:pt>
                <c:pt idx="34">
                  <c:v>21.980766185068266</c:v>
                </c:pt>
                <c:pt idx="35">
                  <c:v>22.544578363052494</c:v>
                </c:pt>
                <c:pt idx="36">
                  <c:v>23.111999633116806</c:v>
                </c:pt>
                <c:pt idx="37">
                  <c:v>23.682535376986671</c:v>
                </c:pt>
                <c:pt idx="38">
                  <c:v>24.255418766368297</c:v>
                </c:pt>
                <c:pt idx="39">
                  <c:v>24.829774088960207</c:v>
                </c:pt>
                <c:pt idx="40">
                  <c:v>25.4048072954667</c:v>
                </c:pt>
                <c:pt idx="41">
                  <c:v>25.979860441601694</c:v>
                </c:pt>
                <c:pt idx="42">
                  <c:v>26.554125867568519</c:v>
                </c:pt>
                <c:pt idx="43">
                  <c:v>27.126761887318104</c:v>
                </c:pt>
                <c:pt idx="44">
                  <c:v>27.697042504059571</c:v>
                </c:pt>
                <c:pt idx="45">
                  <c:v>28.264527541522209</c:v>
                </c:pt>
                <c:pt idx="46">
                  <c:v>28.829096670207978</c:v>
                </c:pt>
                <c:pt idx="47">
                  <c:v>29.388587985474437</c:v>
                </c:pt>
                <c:pt idx="48">
                  <c:v>29.942874352573053</c:v>
                </c:pt>
                <c:pt idx="49">
                  <c:v>30.492073625772598</c:v>
                </c:pt>
                <c:pt idx="50">
                  <c:v>31.036637116615434</c:v>
                </c:pt>
              </c:numCache>
            </c:numRef>
          </c:val>
          <c:extLst>
            <c:ext xmlns:c16="http://schemas.microsoft.com/office/drawing/2014/chart" uri="{C3380CC4-5D6E-409C-BE32-E72D297353CC}">
              <c16:uniqueId val="{00000000-8157-174B-BCEC-50A1FDBFD2E1}"/>
            </c:ext>
          </c:extLst>
        </c:ser>
        <c:ser>
          <c:idx val="1"/>
          <c:order val="1"/>
          <c:tx>
            <c:strRef>
              <c:f>'10. Emisiones consumo-basadas'!$C$25</c:f>
              <c:strCache>
                <c:ptCount val="1"/>
                <c:pt idx="0">
                  <c:v>Veículos a diesel</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consumo-basadas'!$N$25:$BL$25</c:f>
              <c:numCache>
                <c:formatCode>#,##0.0_);\(#,##0.0\)</c:formatCode>
                <c:ptCount val="51"/>
                <c:pt idx="0">
                  <c:v>18.6558477952392</c:v>
                </c:pt>
                <c:pt idx="1">
                  <c:v>19.2386461475052</c:v>
                </c:pt>
                <c:pt idx="2">
                  <c:v>19.711185352045192</c:v>
                </c:pt>
                <c:pt idx="3">
                  <c:v>18.8795163520548</c:v>
                </c:pt>
                <c:pt idx="4">
                  <c:v>19.437112613412005</c:v>
                </c:pt>
                <c:pt idx="5">
                  <c:v>19.660781170227601</c:v>
                </c:pt>
                <c:pt idx="6">
                  <c:v>19.043329942962007</c:v>
                </c:pt>
                <c:pt idx="7">
                  <c:v>20.517652261126802</c:v>
                </c:pt>
                <c:pt idx="8">
                  <c:v>22.259746795197604</c:v>
                </c:pt>
                <c:pt idx="9">
                  <c:v>22.278648363379205</c:v>
                </c:pt>
                <c:pt idx="10">
                  <c:v>24.490131840626404</c:v>
                </c:pt>
                <c:pt idx="11">
                  <c:v>25.699832204248803</c:v>
                </c:pt>
                <c:pt idx="12">
                  <c:v>27.038693283778798</c:v>
                </c:pt>
                <c:pt idx="13">
                  <c:v>27.971170647404403</c:v>
                </c:pt>
                <c:pt idx="14">
                  <c:v>27.8231083633152</c:v>
                </c:pt>
                <c:pt idx="15">
                  <c:v>27.180455045140796</c:v>
                </c:pt>
                <c:pt idx="16">
                  <c:v>26.336184999696005</c:v>
                </c:pt>
                <c:pt idx="17">
                  <c:v>26.821325249690403</c:v>
                </c:pt>
                <c:pt idx="18">
                  <c:v>27.010340931506402</c:v>
                </c:pt>
                <c:pt idx="19">
                  <c:v>26.815552600161794</c:v>
                </c:pt>
                <c:pt idx="20">
                  <c:v>26.441014907836983</c:v>
                </c:pt>
                <c:pt idx="21">
                  <c:v>26.427601982275302</c:v>
                </c:pt>
                <c:pt idx="22">
                  <c:v>26.407067061948375</c:v>
                </c:pt>
                <c:pt idx="23">
                  <c:v>26.393139780366056</c:v>
                </c:pt>
                <c:pt idx="24">
                  <c:v>27.257233777049358</c:v>
                </c:pt>
                <c:pt idx="25">
                  <c:v>27.981666502684806</c:v>
                </c:pt>
                <c:pt idx="26">
                  <c:v>28.622263501767094</c:v>
                </c:pt>
                <c:pt idx="27">
                  <c:v>29.208791136259318</c:v>
                </c:pt>
                <c:pt idx="28">
                  <c:v>29.756642018712007</c:v>
                </c:pt>
                <c:pt idx="29">
                  <c:v>30.281616359139942</c:v>
                </c:pt>
                <c:pt idx="30">
                  <c:v>31.167662785713791</c:v>
                </c:pt>
                <c:pt idx="31">
                  <c:v>32.055531391929456</c:v>
                </c:pt>
                <c:pt idx="32">
                  <c:v>32.947177718158613</c:v>
                </c:pt>
                <c:pt idx="33">
                  <c:v>33.843767363759532</c:v>
                </c:pt>
                <c:pt idx="34">
                  <c:v>34.745972571054907</c:v>
                </c:pt>
                <c:pt idx="35">
                  <c:v>35.654178189303245</c:v>
                </c:pt>
                <c:pt idx="36">
                  <c:v>36.568449577420225</c:v>
                </c:pt>
                <c:pt idx="37">
                  <c:v>37.48856067944623</c:v>
                </c:pt>
                <c:pt idx="38">
                  <c:v>38.413702802983146</c:v>
                </c:pt>
                <c:pt idx="39">
                  <c:v>39.3426299076935</c:v>
                </c:pt>
                <c:pt idx="40">
                  <c:v>40.273924097452557</c:v>
                </c:pt>
                <c:pt idx="41">
                  <c:v>41.206301227664468</c:v>
                </c:pt>
                <c:pt idx="42">
                  <c:v>42.138690800439171</c:v>
                </c:pt>
                <c:pt idx="43">
                  <c:v>43.069782413306704</c:v>
                </c:pt>
                <c:pt idx="44">
                  <c:v>43.99821417923846</c:v>
                </c:pt>
                <c:pt idx="45">
                  <c:v>44.922815982736438</c:v>
                </c:pt>
                <c:pt idx="46">
                  <c:v>45.842881984418</c:v>
                </c:pt>
                <c:pt idx="47">
                  <c:v>46.758166805671479</c:v>
                </c:pt>
                <c:pt idx="48">
                  <c:v>47.665215172458929</c:v>
                </c:pt>
                <c:pt idx="49">
                  <c:v>48.563826977280797</c:v>
                </c:pt>
                <c:pt idx="50">
                  <c:v>49.454201523893936</c:v>
                </c:pt>
              </c:numCache>
            </c:numRef>
          </c:val>
          <c:extLst>
            <c:ext xmlns:c16="http://schemas.microsoft.com/office/drawing/2014/chart" uri="{C3380CC4-5D6E-409C-BE32-E72D297353CC}">
              <c16:uniqueId val="{00000001-8157-174B-BCEC-50A1FDBFD2E1}"/>
            </c:ext>
          </c:extLst>
        </c:ser>
        <c:ser>
          <c:idx val="2"/>
          <c:order val="2"/>
          <c:tx>
            <c:strRef>
              <c:f>'10. Emisiones consumo-basadas'!$C$26</c:f>
              <c:strCache>
                <c:ptCount val="1"/>
                <c:pt idx="0">
                  <c:v>Veículos a GNC</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consumo-basadas'!$N$26:$BL$26</c:f>
              <c:numCache>
                <c:formatCode>#,##0.0_);\(#,##0.0\)</c:formatCode>
                <c:ptCount val="51"/>
                <c:pt idx="0">
                  <c:v>0.17387344972800001</c:v>
                </c:pt>
                <c:pt idx="1">
                  <c:v>0.30156176437200005</c:v>
                </c:pt>
                <c:pt idx="2">
                  <c:v>0.53792098509600006</c:v>
                </c:pt>
                <c:pt idx="3">
                  <c:v>0.93456979228800008</c:v>
                </c:pt>
                <c:pt idx="4">
                  <c:v>1.0975761514080002</c:v>
                </c:pt>
                <c:pt idx="5">
                  <c:v>1.2931837823520003</c:v>
                </c:pt>
                <c:pt idx="6">
                  <c:v>1.5404100936840002</c:v>
                </c:pt>
                <c:pt idx="7">
                  <c:v>1.6653816356760001</c:v>
                </c:pt>
                <c:pt idx="8">
                  <c:v>1.524109457772</c:v>
                </c:pt>
                <c:pt idx="9">
                  <c:v>1.0758419701920001</c:v>
                </c:pt>
                <c:pt idx="10">
                  <c:v>0.93456979228800008</c:v>
                </c:pt>
                <c:pt idx="11">
                  <c:v>0.85034984007600012</c:v>
                </c:pt>
                <c:pt idx="12">
                  <c:v>0.75526279725599987</c:v>
                </c:pt>
                <c:pt idx="13">
                  <c:v>0.73081184338799998</c:v>
                </c:pt>
                <c:pt idx="14">
                  <c:v>0.65202543648</c:v>
                </c:pt>
                <c:pt idx="15">
                  <c:v>0.58410612017999997</c:v>
                </c:pt>
                <c:pt idx="16">
                  <c:v>0.58138934752799998</c:v>
                </c:pt>
                <c:pt idx="17">
                  <c:v>0.60040675609199989</c:v>
                </c:pt>
                <c:pt idx="18" formatCode="#,##0.00_);\(#,##0.00\)">
                  <c:v>0.676476390348</c:v>
                </c:pt>
                <c:pt idx="19">
                  <c:v>0.53756796795904105</c:v>
                </c:pt>
                <c:pt idx="20">
                  <c:v>0.51147817729407641</c:v>
                </c:pt>
                <c:pt idx="21">
                  <c:v>0.48468949908683084</c:v>
                </c:pt>
                <c:pt idx="22">
                  <c:v>0.45720480534195324</c:v>
                </c:pt>
                <c:pt idx="23">
                  <c:v>0.44369527254522706</c:v>
                </c:pt>
                <c:pt idx="24">
                  <c:v>0.42553268661314003</c:v>
                </c:pt>
                <c:pt idx="25">
                  <c:v>0.40388231609707165</c:v>
                </c:pt>
                <c:pt idx="26">
                  <c:v>0.37933385429931132</c:v>
                </c:pt>
                <c:pt idx="27">
                  <c:v>0.35217690309373173</c:v>
                </c:pt>
                <c:pt idx="28">
                  <c:v>0.32257431829099553</c:v>
                </c:pt>
                <c:pt idx="29">
                  <c:v>0.33201681618009948</c:v>
                </c:pt>
                <c:pt idx="30">
                  <c:v>0.34147841497466053</c:v>
                </c:pt>
                <c:pt idx="31">
                  <c:v>0.35098008387434138</c:v>
                </c:pt>
                <c:pt idx="32">
                  <c:v>0.36053432528798757</c:v>
                </c:pt>
                <c:pt idx="33">
                  <c:v>0.37014834988018291</c:v>
                </c:pt>
                <c:pt idx="34">
                  <c:v>0.37982631086327195</c:v>
                </c:pt>
                <c:pt idx="35">
                  <c:v>0.38956895121440821</c:v>
                </c:pt>
                <c:pt idx="36">
                  <c:v>0.39937395645850604</c:v>
                </c:pt>
                <c:pt idx="37">
                  <c:v>0.4092327796216827</c:v>
                </c:pt>
                <c:pt idx="38">
                  <c:v>0.41913216995737917</c:v>
                </c:pt>
                <c:pt idx="39">
                  <c:v>0.42905699520996599</c:v>
                </c:pt>
                <c:pt idx="40">
                  <c:v>0.43899353425561616</c:v>
                </c:pt>
                <c:pt idx="41">
                  <c:v>0.44893041785684146</c:v>
                </c:pt>
                <c:pt idx="42">
                  <c:v>0.45885368970118129</c:v>
                </c:pt>
                <c:pt idx="43">
                  <c:v>0.46874880550459064</c:v>
                </c:pt>
                <c:pt idx="44">
                  <c:v>0.47860322008641182</c:v>
                </c:pt>
                <c:pt idx="45">
                  <c:v>0.4884093272272978</c:v>
                </c:pt>
                <c:pt idx="46">
                  <c:v>0.49816504764079622</c:v>
                </c:pt>
                <c:pt idx="47">
                  <c:v>0.50783302374538086</c:v>
                </c:pt>
                <c:pt idx="48">
                  <c:v>0.51741105866028236</c:v>
                </c:pt>
                <c:pt idx="49">
                  <c:v>0.52690118890014082</c:v>
                </c:pt>
                <c:pt idx="50">
                  <c:v>0.53631121310112462</c:v>
                </c:pt>
              </c:numCache>
            </c:numRef>
          </c:val>
          <c:extLst>
            <c:ext xmlns:c16="http://schemas.microsoft.com/office/drawing/2014/chart" uri="{C3380CC4-5D6E-409C-BE32-E72D297353CC}">
              <c16:uniqueId val="{00000002-8157-174B-BCEC-50A1FDBFD2E1}"/>
            </c:ext>
          </c:extLst>
        </c:ser>
        <c:ser>
          <c:idx val="3"/>
          <c:order val="3"/>
          <c:tx>
            <c:strRef>
              <c:f>'10. Emisiones consumo-basadas'!$C$27</c:f>
              <c:strCache>
                <c:ptCount val="1"/>
                <c:pt idx="0">
                  <c:v>Veículos a bioetanol (CH4 e N2O)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consumo-basadas'!$N$27:$BL$27</c:f>
              <c:numCache>
                <c:formatCode>#,##0.0_);\(#,##0.0\)</c:formatCode>
                <c:ptCount val="51"/>
                <c:pt idx="0">
                  <c:v>0.25221186903600007</c:v>
                </c:pt>
                <c:pt idx="1">
                  <c:v>0.21565737878399999</c:v>
                </c:pt>
                <c:pt idx="2">
                  <c:v>0.24303796221600002</c:v>
                </c:pt>
                <c:pt idx="3">
                  <c:v>0.22059717476400001</c:v>
                </c:pt>
                <c:pt idx="4">
                  <c:v>0.27380583432</c:v>
                </c:pt>
                <c:pt idx="5">
                  <c:v>0.29158909984799997</c:v>
                </c:pt>
                <c:pt idx="6">
                  <c:v>0.38756227888800004</c:v>
                </c:pt>
                <c:pt idx="7">
                  <c:v>0.52855816986000004</c:v>
                </c:pt>
                <c:pt idx="8">
                  <c:v>0.64894805474400008</c:v>
                </c:pt>
                <c:pt idx="9">
                  <c:v>0.74590919298000002</c:v>
                </c:pt>
                <c:pt idx="10">
                  <c:v>0.74294531539199993</c:v>
                </c:pt>
                <c:pt idx="11">
                  <c:v>0.64541962904400008</c:v>
                </c:pt>
                <c:pt idx="12">
                  <c:v>0.57527452612800012</c:v>
                </c:pt>
                <c:pt idx="13">
                  <c:v>0.67632863817599997</c:v>
                </c:pt>
                <c:pt idx="14">
                  <c:v>0.74986102976400004</c:v>
                </c:pt>
                <c:pt idx="15">
                  <c:v>0.85853654132400015</c:v>
                </c:pt>
                <c:pt idx="16">
                  <c:v>0.80490447068400017</c:v>
                </c:pt>
                <c:pt idx="17">
                  <c:v>0.76665633609600004</c:v>
                </c:pt>
                <c:pt idx="18" formatCode="#,##0.00_);\(#,##0.00\)">
                  <c:v>0.88831645423200012</c:v>
                </c:pt>
                <c:pt idx="19">
                  <c:v>0.85303292172796674</c:v>
                </c:pt>
                <c:pt idx="20">
                  <c:v>0.88885316114480262</c:v>
                </c:pt>
                <c:pt idx="21">
                  <c:v>0.92522151650382944</c:v>
                </c:pt>
                <c:pt idx="22">
                  <c:v>0.96213699957862042</c:v>
                </c:pt>
                <c:pt idx="23">
                  <c:v>1.0337750465132547</c:v>
                </c:pt>
                <c:pt idx="24">
                  <c:v>1.1034017929436262</c:v>
                </c:pt>
                <c:pt idx="25">
                  <c:v>1.1727999460810234</c:v>
                </c:pt>
                <c:pt idx="26">
                  <c:v>1.2429649415490041</c:v>
                </c:pt>
                <c:pt idx="27">
                  <c:v>1.3144312453071614</c:v>
                </c:pt>
                <c:pt idx="28">
                  <c:v>1.3875749143785086</c:v>
                </c:pt>
                <c:pt idx="29">
                  <c:v>1.4281924479422721</c:v>
                </c:pt>
                <c:pt idx="30">
                  <c:v>1.468892145323027</c:v>
                </c:pt>
                <c:pt idx="31">
                  <c:v>1.5097642069297235</c:v>
                </c:pt>
                <c:pt idx="32">
                  <c:v>1.550862412706701</c:v>
                </c:pt>
                <c:pt idx="33">
                  <c:v>1.5922177798079165</c:v>
                </c:pt>
                <c:pt idx="34">
                  <c:v>1.6338481735528827</c:v>
                </c:pt>
                <c:pt idx="35">
                  <c:v>1.6757567899073109</c:v>
                </c:pt>
                <c:pt idx="36">
                  <c:v>1.7179336730024697</c:v>
                </c:pt>
                <c:pt idx="37">
                  <c:v>1.7603420574609527</c:v>
                </c:pt>
                <c:pt idx="38">
                  <c:v>1.8029249443139048</c:v>
                </c:pt>
                <c:pt idx="39">
                  <c:v>1.8456172411558887</c:v>
                </c:pt>
                <c:pt idx="40">
                  <c:v>1.8883599256589021</c:v>
                </c:pt>
                <c:pt idx="41">
                  <c:v>1.9311040922906708</c:v>
                </c:pt>
                <c:pt idx="42">
                  <c:v>1.9737897070436201</c:v>
                </c:pt>
                <c:pt idx="43">
                  <c:v>2.0163542067112434</c:v>
                </c:pt>
                <c:pt idx="44">
                  <c:v>2.0587436273634041</c:v>
                </c:pt>
                <c:pt idx="45">
                  <c:v>2.1009252503409854</c:v>
                </c:pt>
                <c:pt idx="46">
                  <c:v>2.1428901314548296</c:v>
                </c:pt>
                <c:pt idx="47">
                  <c:v>2.1844775745798914</c:v>
                </c:pt>
                <c:pt idx="48">
                  <c:v>2.2256781296872252</c:v>
                </c:pt>
                <c:pt idx="49">
                  <c:v>2.2665005569801924</c:v>
                </c:pt>
                <c:pt idx="50">
                  <c:v>2.3069784028116791</c:v>
                </c:pt>
              </c:numCache>
            </c:numRef>
          </c:val>
          <c:extLst>
            <c:ext xmlns:c16="http://schemas.microsoft.com/office/drawing/2014/chart" uri="{C3380CC4-5D6E-409C-BE32-E72D297353CC}">
              <c16:uniqueId val="{00000003-8157-174B-BCEC-50A1FDBFD2E1}"/>
            </c:ext>
          </c:extLst>
        </c:ser>
        <c:ser>
          <c:idx val="4"/>
          <c:order val="4"/>
          <c:tx>
            <c:strRef>
              <c:f>'10. Emisiones consumo-basadas'!$C$28</c:f>
              <c:strCache>
                <c:ptCount val="1"/>
                <c:pt idx="0">
                  <c:v>Veículos a biodiesel (CH4 e N2O)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consumo-basadas'!$N$28:$BL$28</c:f>
              <c:numCache>
                <c:formatCode>#,##0.0_);\(#,##0.0\)</c:formatCode>
                <c:ptCount val="51"/>
                <c:pt idx="0">
                  <c:v>0</c:v>
                </c:pt>
                <c:pt idx="1">
                  <c:v>0</c:v>
                </c:pt>
                <c:pt idx="2">
                  <c:v>0</c:v>
                </c:pt>
                <c:pt idx="3">
                  <c:v>0</c:v>
                </c:pt>
                <c:pt idx="4">
                  <c:v>0</c:v>
                </c:pt>
                <c:pt idx="5">
                  <c:v>0</c:v>
                </c:pt>
                <c:pt idx="6">
                  <c:v>1.1581322933769604E-3</c:v>
                </c:pt>
                <c:pt idx="7">
                  <c:v>2.0670274796467003E-3</c:v>
                </c:pt>
                <c:pt idx="8">
                  <c:v>1.0457556009031699E-2</c:v>
                </c:pt>
                <c:pt idx="9">
                  <c:v>1.3484810402271482E-2</c:v>
                </c:pt>
                <c:pt idx="10">
                  <c:v>1.8692972121571751E-2</c:v>
                </c:pt>
                <c:pt idx="11">
                  <c:v>1.7015752720132456E-2</c:v>
                </c:pt>
                <c:pt idx="12">
                  <c:v>9.1598564726199268E-3</c:v>
                </c:pt>
                <c:pt idx="13">
                  <c:v>9.40835688198376E-3</c:v>
                </c:pt>
                <c:pt idx="14">
                  <c:v>9.8495825654382838E-3</c:v>
                </c:pt>
                <c:pt idx="15">
                  <c:v>1.0783525397879681E-2</c:v>
                </c:pt>
                <c:pt idx="16">
                  <c:v>8.1345035492793854E-3</c:v>
                </c:pt>
                <c:pt idx="17">
                  <c:v>9.395439831420339E-3</c:v>
                </c:pt>
                <c:pt idx="18" formatCode="#,##0.00_);\(#,##0.00\)">
                  <c:v>1.3938952465500493E-2</c:v>
                </c:pt>
                <c:pt idx="19">
                  <c:v>9.1050653094641529E-3</c:v>
                </c:pt>
                <c:pt idx="20">
                  <c:v>9.0559455649211265E-3</c:v>
                </c:pt>
                <c:pt idx="21">
                  <c:v>9.0034173090895245E-3</c:v>
                </c:pt>
                <c:pt idx="22">
                  <c:v>8.9475009791399173E-3</c:v>
                </c:pt>
                <c:pt idx="23">
                  <c:v>9.1921047710918861E-3</c:v>
                </c:pt>
                <c:pt idx="24">
                  <c:v>9.3852234167535881E-3</c:v>
                </c:pt>
                <c:pt idx="25">
                  <c:v>9.5462560096154711E-3</c:v>
                </c:pt>
                <c:pt idx="26">
                  <c:v>9.6854940887023556E-3</c:v>
                </c:pt>
                <c:pt idx="27">
                  <c:v>9.8082238391835764E-3</c:v>
                </c:pt>
                <c:pt idx="28">
                  <c:v>9.9178019570645322E-3</c:v>
                </c:pt>
                <c:pt idx="29">
                  <c:v>1.0208119005676109E-2</c:v>
                </c:pt>
                <c:pt idx="30">
                  <c:v>1.0499023326698356E-2</c:v>
                </c:pt>
                <c:pt idx="31">
                  <c:v>1.0791159634721563E-2</c:v>
                </c:pt>
                <c:pt idx="32">
                  <c:v>1.1084912326171247E-2</c:v>
                </c:pt>
                <c:pt idx="33">
                  <c:v>1.1380503098619925E-2</c:v>
                </c:pt>
                <c:pt idx="34">
                  <c:v>1.1678059645858403E-2</c:v>
                </c:pt>
                <c:pt idx="35">
                  <c:v>1.1977604811305548E-2</c:v>
                </c:pt>
                <c:pt idx="36">
                  <c:v>1.2279067434598502E-2</c:v>
                </c:pt>
                <c:pt idx="37">
                  <c:v>1.2582184732280897E-2</c:v>
                </c:pt>
                <c:pt idx="38">
                  <c:v>1.2886549299693696E-2</c:v>
                </c:pt>
                <c:pt idx="39">
                  <c:v>1.3191695883696805E-2</c:v>
                </c:pt>
                <c:pt idx="40">
                  <c:v>1.3497202617510919E-2</c:v>
                </c:pt>
                <c:pt idx="41">
                  <c:v>1.3802719944958079E-2</c:v>
                </c:pt>
                <c:pt idx="42">
                  <c:v>1.4107818768198855E-2</c:v>
                </c:pt>
                <c:pt idx="43">
                  <c:v>1.4412051911743474E-2</c:v>
                </c:pt>
                <c:pt idx="44">
                  <c:v>1.4715033664113314E-2</c:v>
                </c:pt>
                <c:pt idx="45">
                  <c:v>1.5016530166092522E-2</c:v>
                </c:pt>
                <c:pt idx="46">
                  <c:v>1.5316477488378376E-2</c:v>
                </c:pt>
                <c:pt idx="47">
                  <c:v>1.5613727042648231E-2</c:v>
                </c:pt>
                <c:pt idx="48">
                  <c:v>1.5908211284069305E-2</c:v>
                </c:pt>
                <c:pt idx="49">
                  <c:v>1.6199992826891194E-2</c:v>
                </c:pt>
                <c:pt idx="50">
                  <c:v>1.6489311446336752E-2</c:v>
                </c:pt>
              </c:numCache>
            </c:numRef>
          </c:val>
          <c:extLst>
            <c:ext xmlns:c16="http://schemas.microsoft.com/office/drawing/2014/chart" uri="{C3380CC4-5D6E-409C-BE32-E72D297353CC}">
              <c16:uniqueId val="{00000004-8157-174B-BCEC-50A1FDBFD2E1}"/>
            </c:ext>
          </c:extLst>
        </c:ser>
        <c:ser>
          <c:idx val="6"/>
          <c:order val="5"/>
          <c:tx>
            <c:strRef>
              <c:f>'10. Emisiones consumo-basadas'!$C$30</c:f>
              <c:strCache>
                <c:ptCount val="1"/>
                <c:pt idx="0">
                  <c:v>Gasolina para aviação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consumo-basadas'!$N$30:$BL$30</c:f>
              <c:numCache>
                <c:formatCode>#,##0.0_);\(#,##0.0\)</c:formatCode>
                <c:ptCount val="51"/>
                <c:pt idx="0">
                  <c:v>5.8484571839999999E-2</c:v>
                </c:pt>
                <c:pt idx="1">
                  <c:v>6.4333029023999996E-2</c:v>
                </c:pt>
                <c:pt idx="2">
                  <c:v>3.8014971696000009E-2</c:v>
                </c:pt>
                <c:pt idx="3">
                  <c:v>2.3393828736000002E-2</c:v>
                </c:pt>
                <c:pt idx="4">
                  <c:v>2.924228592E-2</c:v>
                </c:pt>
                <c:pt idx="5">
                  <c:v>3.8014971696000009E-2</c:v>
                </c:pt>
                <c:pt idx="6">
                  <c:v>4.0939200287999994E-2</c:v>
                </c:pt>
                <c:pt idx="7">
                  <c:v>2.3393828736000002E-2</c:v>
                </c:pt>
                <c:pt idx="8">
                  <c:v>2.3393828736000002E-2</c:v>
                </c:pt>
                <c:pt idx="9">
                  <c:v>2.6318057328000001E-2</c:v>
                </c:pt>
                <c:pt idx="10">
                  <c:v>3.5090743104000004E-2</c:v>
                </c:pt>
                <c:pt idx="11">
                  <c:v>3.8014971696000009E-2</c:v>
                </c:pt>
                <c:pt idx="12">
                  <c:v>4.0939200287999994E-2</c:v>
                </c:pt>
                <c:pt idx="13">
                  <c:v>3.5090743104000004E-2</c:v>
                </c:pt>
                <c:pt idx="14">
                  <c:v>3.2166514511999998E-2</c:v>
                </c:pt>
                <c:pt idx="15">
                  <c:v>2.6318057328000001E-2</c:v>
                </c:pt>
                <c:pt idx="16">
                  <c:v>2.3393828736000002E-2</c:v>
                </c:pt>
                <c:pt idx="17">
                  <c:v>2.0469600143999997E-2</c:v>
                </c:pt>
                <c:pt idx="18" formatCode="#,##0.00_);\(#,##0.00\)">
                  <c:v>2.0469600143999997E-2</c:v>
                </c:pt>
                <c:pt idx="19">
                  <c:v>2.0481403974338393E-2</c:v>
                </c:pt>
                <c:pt idx="20">
                  <c:v>2.0493207804676783E-2</c:v>
                </c:pt>
                <c:pt idx="21">
                  <c:v>2.0505011635015172E-2</c:v>
                </c:pt>
                <c:pt idx="22">
                  <c:v>2.0516815465353565E-2</c:v>
                </c:pt>
                <c:pt idx="23">
                  <c:v>2.0528619295691955E-2</c:v>
                </c:pt>
                <c:pt idx="24">
                  <c:v>2.0540423126030345E-2</c:v>
                </c:pt>
                <c:pt idx="25">
                  <c:v>2.0552226956368734E-2</c:v>
                </c:pt>
                <c:pt idx="26">
                  <c:v>2.0564030786707127E-2</c:v>
                </c:pt>
                <c:pt idx="27">
                  <c:v>2.0990050150336354E-2</c:v>
                </c:pt>
                <c:pt idx="28">
                  <c:v>2.1413189839435007E-2</c:v>
                </c:pt>
                <c:pt idx="29">
                  <c:v>2.1835921879507544E-2</c:v>
                </c:pt>
                <c:pt idx="30">
                  <c:v>2.2259678268414927E-2</c:v>
                </c:pt>
                <c:pt idx="31">
                  <c:v>2.2685378829600658E-2</c:v>
                </c:pt>
                <c:pt idx="32">
                  <c:v>2.3113567095099548E-2</c:v>
                </c:pt>
                <c:pt idx="33">
                  <c:v>2.354455141481597E-2</c:v>
                </c:pt>
                <c:pt idx="34">
                  <c:v>2.3978504255645575E-2</c:v>
                </c:pt>
                <c:pt idx="35">
                  <c:v>2.4415446522666633E-2</c:v>
                </c:pt>
                <c:pt idx="36">
                  <c:v>2.4855263237948687E-2</c:v>
                </c:pt>
                <c:pt idx="37">
                  <c:v>2.5297562431274349E-2</c:v>
                </c:pt>
                <c:pt idx="38">
                  <c:v>2.5741743081643582E-2</c:v>
                </c:pt>
                <c:pt idx="39">
                  <c:v>2.61871205477433E-2</c:v>
                </c:pt>
                <c:pt idx="40">
                  <c:v>2.6633072903495224E-2</c:v>
                </c:pt>
                <c:pt idx="41">
                  <c:v>2.7079082748212368E-2</c:v>
                </c:pt>
                <c:pt idx="42">
                  <c:v>2.752451770327731E-2</c:v>
                </c:pt>
                <c:pt idx="43">
                  <c:v>2.7968719258724798E-2</c:v>
                </c:pt>
                <c:pt idx="44">
                  <c:v>2.84111177511722E-2</c:v>
                </c:pt>
                <c:pt idx="45">
                  <c:v>2.8851363020558622E-2</c:v>
                </c:pt>
                <c:pt idx="46">
                  <c:v>2.9289350541492783E-2</c:v>
                </c:pt>
                <c:pt idx="47">
                  <c:v>2.9723407907713693E-2</c:v>
                </c:pt>
                <c:pt idx="48">
                  <c:v>3.0153425367560504E-2</c:v>
                </c:pt>
                <c:pt idx="49">
                  <c:v>3.0579481315076682E-2</c:v>
                </c:pt>
                <c:pt idx="50">
                  <c:v>3.100191023151443E-2</c:v>
                </c:pt>
              </c:numCache>
            </c:numRef>
          </c:val>
          <c:extLst>
            <c:ext xmlns:c16="http://schemas.microsoft.com/office/drawing/2014/chart" uri="{C3380CC4-5D6E-409C-BE32-E72D297353CC}">
              <c16:uniqueId val="{00000005-8157-174B-BCEC-50A1FDBFD2E1}"/>
            </c:ext>
          </c:extLst>
        </c:ser>
        <c:ser>
          <c:idx val="7"/>
          <c:order val="6"/>
          <c:tx>
            <c:strRef>
              <c:f>'10. Emisiones consumo-basadas'!$C$31</c:f>
              <c:strCache>
                <c:ptCount val="1"/>
                <c:pt idx="0">
                  <c:v>Querosene para aviação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consumo-basadas'!$N$31:$BL$31</c:f>
              <c:numCache>
                <c:formatCode>#,##0.0_);\(#,##0.0\)</c:formatCode>
                <c:ptCount val="51"/>
                <c:pt idx="0">
                  <c:v>4.6753241975999993</c:v>
                </c:pt>
                <c:pt idx="1">
                  <c:v>3.9363213405600006</c:v>
                </c:pt>
                <c:pt idx="2">
                  <c:v>4.1866774104960003</c:v>
                </c:pt>
                <c:pt idx="3">
                  <c:v>4.7416836378239999</c:v>
                </c:pt>
                <c:pt idx="4">
                  <c:v>4.8985332238080002</c:v>
                </c:pt>
                <c:pt idx="5">
                  <c:v>5.1488892937440003</c:v>
                </c:pt>
                <c:pt idx="6">
                  <c:v>4.9105985765759987</c:v>
                </c:pt>
                <c:pt idx="7">
                  <c:v>5.2906571887680016</c:v>
                </c:pt>
                <c:pt idx="8">
                  <c:v>5.7189772120320006</c:v>
                </c:pt>
                <c:pt idx="9">
                  <c:v>5.6496014336160014</c:v>
                </c:pt>
                <c:pt idx="10">
                  <c:v>6.3614572469280004</c:v>
                </c:pt>
                <c:pt idx="11">
                  <c:v>6.8983654451040008</c:v>
                </c:pt>
                <c:pt idx="12">
                  <c:v>7.0461660165120001</c:v>
                </c:pt>
                <c:pt idx="13">
                  <c:v>7.1095091185439996</c:v>
                </c:pt>
                <c:pt idx="14">
                  <c:v>7.5287801272320003</c:v>
                </c:pt>
                <c:pt idx="15">
                  <c:v>7.4413063196640001</c:v>
                </c:pt>
                <c:pt idx="16">
                  <c:v>7.0009209436320008</c:v>
                </c:pt>
                <c:pt idx="17">
                  <c:v>7.0521986928959999</c:v>
                </c:pt>
                <c:pt idx="18">
                  <c:v>7.8485119755840005</c:v>
                </c:pt>
                <c:pt idx="19">
                  <c:v>7.8530378335937767</c:v>
                </c:pt>
                <c:pt idx="20">
                  <c:v>7.8575636916035529</c:v>
                </c:pt>
                <c:pt idx="21">
                  <c:v>7.8620895496133265</c:v>
                </c:pt>
                <c:pt idx="22">
                  <c:v>7.8666154076231027</c:v>
                </c:pt>
                <c:pt idx="23">
                  <c:v>7.871141265632879</c:v>
                </c:pt>
                <c:pt idx="24">
                  <c:v>7.8756671236426534</c:v>
                </c:pt>
                <c:pt idx="25">
                  <c:v>7.8801929816524288</c:v>
                </c:pt>
                <c:pt idx="26">
                  <c:v>7.8847188396622068</c:v>
                </c:pt>
                <c:pt idx="27">
                  <c:v>8.048064388854808</c:v>
                </c:pt>
                <c:pt idx="28">
                  <c:v>8.2103058050951301</c:v>
                </c:pt>
                <c:pt idx="29">
                  <c:v>8.3723909193930215</c:v>
                </c:pt>
                <c:pt idx="30">
                  <c:v>8.5348687924180417</c:v>
                </c:pt>
                <c:pt idx="31">
                  <c:v>8.6980921054761833</c:v>
                </c:pt>
                <c:pt idx="32">
                  <c:v>8.8622692611573406</c:v>
                </c:pt>
                <c:pt idx="33">
                  <c:v>9.0275184878538752</c:v>
                </c:pt>
                <c:pt idx="34">
                  <c:v>9.1939059133106547</c:v>
                </c:pt>
                <c:pt idx="35">
                  <c:v>9.3614395530119037</c:v>
                </c:pt>
                <c:pt idx="36">
                  <c:v>9.5300753217943779</c:v>
                </c:pt>
                <c:pt idx="37">
                  <c:v>9.6996629293288219</c:v>
                </c:pt>
                <c:pt idx="38">
                  <c:v>9.8699719304436968</c:v>
                </c:pt>
                <c:pt idx="39">
                  <c:v>10.040739818030573</c:v>
                </c:pt>
                <c:pt idx="40">
                  <c:v>10.211728131433695</c:v>
                </c:pt>
                <c:pt idx="41">
                  <c:v>10.382738487418441</c:v>
                </c:pt>
                <c:pt idx="42">
                  <c:v>10.553528417586941</c:v>
                </c:pt>
                <c:pt idx="43">
                  <c:v>10.723845434186043</c:v>
                </c:pt>
                <c:pt idx="44">
                  <c:v>10.893471115270565</c:v>
                </c:pt>
                <c:pt idx="45">
                  <c:v>11.062271201479694</c:v>
                </c:pt>
                <c:pt idx="46">
                  <c:v>11.230205615392297</c:v>
                </c:pt>
                <c:pt idx="47">
                  <c:v>11.396633118270213</c:v>
                </c:pt>
                <c:pt idx="48">
                  <c:v>11.561511628821245</c:v>
                </c:pt>
                <c:pt idx="49">
                  <c:v>11.724871205111242</c:v>
                </c:pt>
                <c:pt idx="50">
                  <c:v>11.886840094887845</c:v>
                </c:pt>
              </c:numCache>
            </c:numRef>
          </c:val>
          <c:extLst>
            <c:ext xmlns:c16="http://schemas.microsoft.com/office/drawing/2014/chart" uri="{C3380CC4-5D6E-409C-BE32-E72D297353CC}">
              <c16:uniqueId val="{00000006-8157-174B-BCEC-50A1FDBFD2E1}"/>
            </c:ext>
          </c:extLst>
        </c:ser>
        <c:ser>
          <c:idx val="8"/>
          <c:order val="7"/>
          <c:tx>
            <c:strRef>
              <c:f>'10. Emisiones consumo-basadas'!$C$32</c:f>
              <c:strCache>
                <c:ptCount val="1"/>
                <c:pt idx="0">
                  <c:v>Diesel ferroviário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consumo-basadas'!$N$32:$BL$32</c:f>
              <c:numCache>
                <c:formatCode>#,##0.0_);\(#,##0.0\)</c:formatCode>
                <c:ptCount val="51"/>
                <c:pt idx="0">
                  <c:v>0.22681881817919999</c:v>
                </c:pt>
                <c:pt idx="1">
                  <c:v>0.33077744317800001</c:v>
                </c:pt>
                <c:pt idx="2">
                  <c:v>0.36228005681400005</c:v>
                </c:pt>
                <c:pt idx="3">
                  <c:v>0.39693293181360007</c:v>
                </c:pt>
                <c:pt idx="4">
                  <c:v>0.37803136363200002</c:v>
                </c:pt>
                <c:pt idx="5">
                  <c:v>0.40008319317719998</c:v>
                </c:pt>
                <c:pt idx="6">
                  <c:v>0.39603129941034582</c:v>
                </c:pt>
                <c:pt idx="7">
                  <c:v>0.39857774436731941</c:v>
                </c:pt>
                <c:pt idx="8">
                  <c:v>0.45186754610541874</c:v>
                </c:pt>
                <c:pt idx="9">
                  <c:v>0.48956763618707899</c:v>
                </c:pt>
                <c:pt idx="10">
                  <c:v>0.44988616120884362</c:v>
                </c:pt>
                <c:pt idx="11">
                  <c:v>0.61139894376061343</c:v>
                </c:pt>
                <c:pt idx="12">
                  <c:v>0.77137932508912388</c:v>
                </c:pt>
                <c:pt idx="13">
                  <c:v>0.69679321670017591</c:v>
                </c:pt>
                <c:pt idx="14">
                  <c:v>0.74606578679305957</c:v>
                </c:pt>
                <c:pt idx="15">
                  <c:v>0.73554835313181566</c:v>
                </c:pt>
                <c:pt idx="16">
                  <c:v>0.63835324564933216</c:v>
                </c:pt>
                <c:pt idx="17">
                  <c:v>0.72440724403880918</c:v>
                </c:pt>
                <c:pt idx="18">
                  <c:v>0.84035479474842467</c:v>
                </c:pt>
                <c:pt idx="19">
                  <c:v>0.8408393867947509</c:v>
                </c:pt>
                <c:pt idx="20">
                  <c:v>0.84132397884107724</c:v>
                </c:pt>
                <c:pt idx="21">
                  <c:v>0.84180857088740368</c:v>
                </c:pt>
                <c:pt idx="22">
                  <c:v>0.84229316293373002</c:v>
                </c:pt>
                <c:pt idx="23">
                  <c:v>0.84277775498005636</c:v>
                </c:pt>
                <c:pt idx="24">
                  <c:v>0.84326234702638281</c:v>
                </c:pt>
                <c:pt idx="25">
                  <c:v>0.84374693907270903</c:v>
                </c:pt>
                <c:pt idx="26">
                  <c:v>0.84423153111903582</c:v>
                </c:pt>
                <c:pt idx="27">
                  <c:v>0.86172124329528599</c:v>
                </c:pt>
                <c:pt idx="28">
                  <c:v>0.87909273389993448</c:v>
                </c:pt>
                <c:pt idx="29">
                  <c:v>0.89644748896450133</c:v>
                </c:pt>
                <c:pt idx="30">
                  <c:v>0.91384429743747853</c:v>
                </c:pt>
                <c:pt idx="31">
                  <c:v>0.93132092156315227</c:v>
                </c:pt>
                <c:pt idx="32">
                  <c:v>0.94889967539496434</c:v>
                </c:pt>
                <c:pt idx="33">
                  <c:v>0.96659321786707975</c:v>
                </c:pt>
                <c:pt idx="34">
                  <c:v>0.98440862940030172</c:v>
                </c:pt>
                <c:pt idx="35">
                  <c:v>1.0023467682274552</c:v>
                </c:pt>
                <c:pt idx="36">
                  <c:v>1.0204029140680038</c:v>
                </c:pt>
                <c:pt idx="37">
                  <c:v>1.0385609750564853</c:v>
                </c:pt>
                <c:pt idx="38">
                  <c:v>1.056796276999189</c:v>
                </c:pt>
                <c:pt idx="39">
                  <c:v>1.0750807127711071</c:v>
                </c:pt>
                <c:pt idx="40">
                  <c:v>1.0933887499457033</c:v>
                </c:pt>
                <c:pt idx="41">
                  <c:v>1.1116991472605684</c:v>
                </c:pt>
                <c:pt idx="42">
                  <c:v>1.1299859431727535</c:v>
                </c:pt>
                <c:pt idx="43">
                  <c:v>1.1482221033482827</c:v>
                </c:pt>
                <c:pt idx="44">
                  <c:v>1.166384240942681</c:v>
                </c:pt>
                <c:pt idx="45">
                  <c:v>1.1844579805561359</c:v>
                </c:pt>
                <c:pt idx="46">
                  <c:v>1.2024390310245241</c:v>
                </c:pt>
                <c:pt idx="47">
                  <c:v>1.2202587337218695</c:v>
                </c:pt>
                <c:pt idx="48">
                  <c:v>1.2379125829258424</c:v>
                </c:pt>
                <c:pt idx="49">
                  <c:v>1.255403797009536</c:v>
                </c:pt>
                <c:pt idx="50">
                  <c:v>1.2727461076981452</c:v>
                </c:pt>
              </c:numCache>
            </c:numRef>
          </c:val>
          <c:extLst>
            <c:ext xmlns:c16="http://schemas.microsoft.com/office/drawing/2014/chart" uri="{C3380CC4-5D6E-409C-BE32-E72D297353CC}">
              <c16:uniqueId val="{00000007-8157-174B-BCEC-50A1FDBFD2E1}"/>
            </c:ext>
          </c:extLst>
        </c:ser>
        <c:ser>
          <c:idx val="9"/>
          <c:order val="8"/>
          <c:tx>
            <c:strRef>
              <c:f>'10. Emisiones consumo-basadas'!$C$33</c:f>
              <c:strCache>
                <c:ptCount val="1"/>
                <c:pt idx="0">
                  <c:v>Biodiesel ferroviário (CH4 e N2O)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consumo-basadas'!$N$33:$BL$33</c:f>
              <c:numCache>
                <c:formatCode>#,##0.00000_);\(#,##0.00000\)</c:formatCode>
                <c:ptCount val="51"/>
                <c:pt idx="0">
                  <c:v>0</c:v>
                </c:pt>
                <c:pt idx="1">
                  <c:v>0</c:v>
                </c:pt>
                <c:pt idx="2">
                  <c:v>0</c:v>
                </c:pt>
                <c:pt idx="3">
                  <c:v>0</c:v>
                </c:pt>
                <c:pt idx="4">
                  <c:v>0</c:v>
                </c:pt>
                <c:pt idx="5">
                  <c:v>0</c:v>
                </c:pt>
                <c:pt idx="6">
                  <c:v>1.3692960874591669E-5</c:v>
                </c:pt>
                <c:pt idx="7">
                  <c:v>2.2863033291609887E-5</c:v>
                </c:pt>
                <c:pt idx="8">
                  <c:v>1.2256723180392455E-4</c:v>
                </c:pt>
                <c:pt idx="9">
                  <c:v>1.7197474437459528E-4</c:v>
                </c:pt>
                <c:pt idx="10">
                  <c:v>2.0050080119340887E-4</c:v>
                </c:pt>
                <c:pt idx="11">
                  <c:v>2.3544284484349064E-4</c:v>
                </c:pt>
                <c:pt idx="12">
                  <c:v>1.501295533881267E-4</c:v>
                </c:pt>
                <c:pt idx="13">
                  <c:v>1.3463646517616055E-4</c:v>
                </c:pt>
                <c:pt idx="14">
                  <c:v>1.5182208873609711E-4</c:v>
                </c:pt>
                <c:pt idx="15">
                  <c:v>1.6802114145677703E-4</c:v>
                </c:pt>
                <c:pt idx="16">
                  <c:v>1.1314714297308142E-4</c:v>
                </c:pt>
                <c:pt idx="17">
                  <c:v>1.4584929913633653E-4</c:v>
                </c:pt>
                <c:pt idx="18">
                  <c:v>2.5083060033054369E-4</c:v>
                </c:pt>
                <c:pt idx="19">
                  <c:v>2.5097524223019729E-4</c:v>
                </c:pt>
                <c:pt idx="20">
                  <c:v>2.5111988412985093E-4</c:v>
                </c:pt>
                <c:pt idx="21">
                  <c:v>2.5126452602950458E-4</c:v>
                </c:pt>
                <c:pt idx="22">
                  <c:v>2.5140916792915817E-4</c:v>
                </c:pt>
                <c:pt idx="23">
                  <c:v>2.5155380982881182E-4</c:v>
                </c:pt>
                <c:pt idx="24">
                  <c:v>2.5169845172846547E-4</c:v>
                </c:pt>
                <c:pt idx="25">
                  <c:v>2.5184309362811906E-4</c:v>
                </c:pt>
                <c:pt idx="26">
                  <c:v>2.5198773552777276E-4</c:v>
                </c:pt>
                <c:pt idx="27">
                  <c:v>2.5720809606143353E-4</c:v>
                </c:pt>
                <c:pt idx="28">
                  <c:v>2.6239316960921381E-4</c:v>
                </c:pt>
                <c:pt idx="29">
                  <c:v>2.6757324790309444E-4</c:v>
                </c:pt>
                <c:pt idx="30">
                  <c:v>2.7276587837344083E-4</c:v>
                </c:pt>
                <c:pt idx="31">
                  <c:v>2.779823323623853E-4</c:v>
                </c:pt>
                <c:pt idx="32">
                  <c:v>2.8322927020846061E-4</c:v>
                </c:pt>
                <c:pt idx="33">
                  <c:v>2.8851047037294981E-4</c:v>
                </c:pt>
                <c:pt idx="34">
                  <c:v>2.9382804623250263E-4</c:v>
                </c:pt>
                <c:pt idx="35">
                  <c:v>2.9918225395398582E-4</c:v>
                </c:pt>
                <c:pt idx="36">
                  <c:v>3.0457168461963286E-4</c:v>
                </c:pt>
                <c:pt idx="37">
                  <c:v>3.0999153510069414E-4</c:v>
                </c:pt>
                <c:pt idx="38">
                  <c:v>3.1543444059975364E-4</c:v>
                </c:pt>
                <c:pt idx="39">
                  <c:v>3.2089201165192853E-4</c:v>
                </c:pt>
                <c:pt idx="40">
                  <c:v>3.263566272929361E-4</c:v>
                </c:pt>
                <c:pt idx="41">
                  <c:v>3.318219473928271E-4</c:v>
                </c:pt>
                <c:pt idx="42">
                  <c:v>3.3728022290388531E-4</c:v>
                </c:pt>
                <c:pt idx="43">
                  <c:v>3.427233845698114E-4</c:v>
                </c:pt>
                <c:pt idx="44">
                  <c:v>3.4814445184348916E-4</c:v>
                </c:pt>
                <c:pt idx="45">
                  <c:v>3.5353913392990242E-4</c:v>
                </c:pt>
                <c:pt idx="46">
                  <c:v>3.5890614999471802E-4</c:v>
                </c:pt>
                <c:pt idx="47">
                  <c:v>3.6422500668860413E-4</c:v>
                </c:pt>
                <c:pt idx="48">
                  <c:v>3.6949435913551082E-4</c:v>
                </c:pt>
                <c:pt idx="49">
                  <c:v>3.7471516796118822E-4</c:v>
                </c:pt>
                <c:pt idx="50">
                  <c:v>3.7989153183550265E-4</c:v>
                </c:pt>
              </c:numCache>
            </c:numRef>
          </c:val>
          <c:extLst>
            <c:ext xmlns:c16="http://schemas.microsoft.com/office/drawing/2014/chart" uri="{C3380CC4-5D6E-409C-BE32-E72D297353CC}">
              <c16:uniqueId val="{00000008-8157-174B-BCEC-50A1FDBFD2E1}"/>
            </c:ext>
          </c:extLst>
        </c:ser>
        <c:ser>
          <c:idx val="10"/>
          <c:order val="9"/>
          <c:tx>
            <c:strRef>
              <c:f>'10. Emisiones consumo-basadas'!$C$34</c:f>
              <c:strCache>
                <c:ptCount val="1"/>
                <c:pt idx="0">
                  <c:v>Óleo combustível marinho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consumo-basadas'!$N$34:$BL$34</c:f>
              <c:numCache>
                <c:formatCode>#,##0.0_);\(#,##0.0\)</c:formatCode>
                <c:ptCount val="51"/>
                <c:pt idx="0">
                  <c:v>2.3485631862240011</c:v>
                </c:pt>
                <c:pt idx="1">
                  <c:v>1.7205351475680002</c:v>
                </c:pt>
                <c:pt idx="2">
                  <c:v>1.0630682946000001</c:v>
                </c:pt>
                <c:pt idx="3">
                  <c:v>0.79157700705600009</c:v>
                </c:pt>
                <c:pt idx="4">
                  <c:v>0.67382174980800003</c:v>
                </c:pt>
                <c:pt idx="5">
                  <c:v>0.49718886393600004</c:v>
                </c:pt>
                <c:pt idx="6">
                  <c:v>0.33036891616800002</c:v>
                </c:pt>
                <c:pt idx="7">
                  <c:v>0.26167834944000001</c:v>
                </c:pt>
                <c:pt idx="8">
                  <c:v>0.219155617656</c:v>
                </c:pt>
                <c:pt idx="9">
                  <c:v>0.19625876207999998</c:v>
                </c:pt>
                <c:pt idx="10">
                  <c:v>0.18317484460800001</c:v>
                </c:pt>
                <c:pt idx="11">
                  <c:v>0.14719407155999997</c:v>
                </c:pt>
                <c:pt idx="12">
                  <c:v>0.12102623661600002</c:v>
                </c:pt>
                <c:pt idx="13">
                  <c:v>0.10794231914399999</c:v>
                </c:pt>
                <c:pt idx="14">
                  <c:v>0.101400360408</c:v>
                </c:pt>
                <c:pt idx="15">
                  <c:v>8.5045463568000024E-2</c:v>
                </c:pt>
                <c:pt idx="16">
                  <c:v>5.8877628624000006E-2</c:v>
                </c:pt>
                <c:pt idx="17">
                  <c:v>5.2335669887999994E-2</c:v>
                </c:pt>
                <c:pt idx="18" formatCode="#,##0.00_);\(#,##0.00\)">
                  <c:v>3.9251752416000006E-2</c:v>
                </c:pt>
                <c:pt idx="19">
                  <c:v>3.9274387006941872E-2</c:v>
                </c:pt>
                <c:pt idx="20">
                  <c:v>3.929702159788373E-2</c:v>
                </c:pt>
                <c:pt idx="21">
                  <c:v>3.9319656188825595E-2</c:v>
                </c:pt>
                <c:pt idx="22">
                  <c:v>3.9342290779767454E-2</c:v>
                </c:pt>
                <c:pt idx="23">
                  <c:v>3.936492537070934E-2</c:v>
                </c:pt>
                <c:pt idx="24">
                  <c:v>3.9387559961651192E-2</c:v>
                </c:pt>
                <c:pt idx="25">
                  <c:v>3.9410194552593057E-2</c:v>
                </c:pt>
                <c:pt idx="26">
                  <c:v>3.9432829143534937E-2</c:v>
                </c:pt>
                <c:pt idx="27">
                  <c:v>4.0249748207315361E-2</c:v>
                </c:pt>
                <c:pt idx="28">
                  <c:v>4.1061145313123104E-2</c:v>
                </c:pt>
                <c:pt idx="29">
                  <c:v>4.1871760726150668E-2</c:v>
                </c:pt>
                <c:pt idx="30">
                  <c:v>4.2684340392830984E-2</c:v>
                </c:pt>
                <c:pt idx="31">
                  <c:v>4.350064813277052E-2</c:v>
                </c:pt>
                <c:pt idx="32">
                  <c:v>4.4321726203009483E-2</c:v>
                </c:pt>
                <c:pt idx="33">
                  <c:v>4.5148165883984195E-2</c:v>
                </c:pt>
                <c:pt idx="34">
                  <c:v>4.5980297891870837E-2</c:v>
                </c:pt>
                <c:pt idx="35">
                  <c:v>4.6818162313478677E-2</c:v>
                </c:pt>
                <c:pt idx="36">
                  <c:v>4.7661538671356869E-2</c:v>
                </c:pt>
                <c:pt idx="37">
                  <c:v>4.8509675337832223E-2</c:v>
                </c:pt>
                <c:pt idx="38">
                  <c:v>4.9361419817139075E-2</c:v>
                </c:pt>
                <c:pt idx="39">
                  <c:v>5.0215459266274867E-2</c:v>
                </c:pt>
                <c:pt idx="40">
                  <c:v>5.1070601102664731E-2</c:v>
                </c:pt>
                <c:pt idx="41">
                  <c:v>5.192585317778E-2</c:v>
                </c:pt>
                <c:pt idx="42">
                  <c:v>5.2780002865641197E-2</c:v>
                </c:pt>
                <c:pt idx="43">
                  <c:v>5.3631787431757304E-2</c:v>
                </c:pt>
                <c:pt idx="44">
                  <c:v>5.4480114510576522E-2</c:v>
                </c:pt>
                <c:pt idx="45">
                  <c:v>5.5324312648044126E-2</c:v>
                </c:pt>
                <c:pt idx="46">
                  <c:v>5.6164181410113909E-2</c:v>
                </c:pt>
                <c:pt idx="47">
                  <c:v>5.6996513852046758E-2</c:v>
                </c:pt>
                <c:pt idx="48">
                  <c:v>5.7821099518094138E-2</c:v>
                </c:pt>
                <c:pt idx="49">
                  <c:v>5.8638088733790741E-2</c:v>
                </c:pt>
                <c:pt idx="50">
                  <c:v>5.9448122888084362E-2</c:v>
                </c:pt>
              </c:numCache>
            </c:numRef>
          </c:val>
          <c:extLst>
            <c:ext xmlns:c16="http://schemas.microsoft.com/office/drawing/2014/chart" uri="{C3380CC4-5D6E-409C-BE32-E72D297353CC}">
              <c16:uniqueId val="{00000009-8157-174B-BCEC-50A1FDBFD2E1}"/>
            </c:ext>
          </c:extLst>
        </c:ser>
        <c:ser>
          <c:idx val="11"/>
          <c:order val="10"/>
          <c:tx>
            <c:strRef>
              <c:f>'10. Emisiones consumo-basadas'!$C$35</c:f>
              <c:strCache>
                <c:ptCount val="1"/>
                <c:pt idx="0">
                  <c:v>Diesel marítimo</c:v>
                </c:pt>
              </c:strCache>
            </c:strRef>
          </c:tx>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consumo-basadas'!$N$35:$BL$35</c:f>
              <c:numCache>
                <c:formatCode>#,##0.0_);\(#,##0.0\)</c:formatCode>
                <c:ptCount val="51"/>
                <c:pt idx="0">
                  <c:v>0.74247714741600002</c:v>
                </c:pt>
                <c:pt idx="1">
                  <c:v>0.93044604549600007</c:v>
                </c:pt>
                <c:pt idx="2">
                  <c:v>0.61089891875999991</c:v>
                </c:pt>
                <c:pt idx="3">
                  <c:v>0.53884417449600008</c:v>
                </c:pt>
                <c:pt idx="4">
                  <c:v>0.48871913500800002</c:v>
                </c:pt>
                <c:pt idx="5">
                  <c:v>0.444859725456</c:v>
                </c:pt>
                <c:pt idx="6">
                  <c:v>0.26628927228000004</c:v>
                </c:pt>
                <c:pt idx="7">
                  <c:v>0.25062519744</c:v>
                </c:pt>
                <c:pt idx="8">
                  <c:v>0.26002364234399999</c:v>
                </c:pt>
                <c:pt idx="9">
                  <c:v>0.26315645731200005</c:v>
                </c:pt>
                <c:pt idx="10">
                  <c:v>0.17857045317599998</c:v>
                </c:pt>
                <c:pt idx="11">
                  <c:v>3.4460964647999991E-2</c:v>
                </c:pt>
                <c:pt idx="12">
                  <c:v>4.6992224519999994E-2</c:v>
                </c:pt>
                <c:pt idx="13">
                  <c:v>6.5789114328000012E-2</c:v>
                </c:pt>
                <c:pt idx="14">
                  <c:v>7.2054744264000006E-2</c:v>
                </c:pt>
                <c:pt idx="15">
                  <c:v>6.2656299360000001E-2</c:v>
                </c:pt>
                <c:pt idx="16">
                  <c:v>6.2656299360000001E-2</c:v>
                </c:pt>
                <c:pt idx="17">
                  <c:v>6.5789114328000012E-2</c:v>
                </c:pt>
                <c:pt idx="18" formatCode="#,##0.00_);\(#,##0.00\)">
                  <c:v>6.5789114328000012E-2</c:v>
                </c:pt>
                <c:pt idx="19">
                  <c:v>6.5827051734601877E-2</c:v>
                </c:pt>
                <c:pt idx="20">
                  <c:v>6.5864989141203756E-2</c:v>
                </c:pt>
                <c:pt idx="21">
                  <c:v>6.5902926547805621E-2</c:v>
                </c:pt>
                <c:pt idx="22">
                  <c:v>6.5940863954407514E-2</c:v>
                </c:pt>
                <c:pt idx="23">
                  <c:v>6.5978801361009365E-2</c:v>
                </c:pt>
                <c:pt idx="24">
                  <c:v>6.6016738767611258E-2</c:v>
                </c:pt>
                <c:pt idx="25">
                  <c:v>6.6054676174213109E-2</c:v>
                </c:pt>
                <c:pt idx="26">
                  <c:v>6.6092613580815002E-2</c:v>
                </c:pt>
                <c:pt idx="27">
                  <c:v>6.7461836058175406E-2</c:v>
                </c:pt>
                <c:pt idx="28">
                  <c:v>6.8821803286992306E-2</c:v>
                </c:pt>
                <c:pt idx="29">
                  <c:v>7.0180460335434625E-2</c:v>
                </c:pt>
                <c:pt idx="30">
                  <c:v>7.1542409631997664E-2</c:v>
                </c:pt>
                <c:pt idx="31">
                  <c:v>7.2910607481116427E-2</c:v>
                </c:pt>
                <c:pt idx="32">
                  <c:v>7.4286800789956989E-2</c:v>
                </c:pt>
                <c:pt idx="33">
                  <c:v>7.5671980592392454E-2</c:v>
                </c:pt>
                <c:pt idx="34">
                  <c:v>7.7066701195504364E-2</c:v>
                </c:pt>
                <c:pt idx="35">
                  <c:v>7.8471029788029889E-2</c:v>
                </c:pt>
                <c:pt idx="36">
                  <c:v>7.9884596831914623E-2</c:v>
                </c:pt>
                <c:pt idx="37">
                  <c:v>8.1306142538336887E-2</c:v>
                </c:pt>
                <c:pt idx="38">
                  <c:v>8.2733735231103403E-2</c:v>
                </c:pt>
                <c:pt idx="39">
                  <c:v>8.4165174479072194E-2</c:v>
                </c:pt>
                <c:pt idx="40">
                  <c:v>8.5598461417312838E-2</c:v>
                </c:pt>
                <c:pt idx="41">
                  <c:v>8.7031933124580685E-2</c:v>
                </c:pt>
                <c:pt idx="42">
                  <c:v>8.8463557141576693E-2</c:v>
                </c:pt>
                <c:pt idx="43">
                  <c:v>8.9891217023080325E-2</c:v>
                </c:pt>
                <c:pt idx="44">
                  <c:v>9.1313081876004135E-2</c:v>
                </c:pt>
                <c:pt idx="45">
                  <c:v>9.2728026289000592E-2</c:v>
                </c:pt>
                <c:pt idx="46">
                  <c:v>9.4135714318384023E-2</c:v>
                </c:pt>
                <c:pt idx="47">
                  <c:v>9.5530770865181733E-2</c:v>
                </c:pt>
                <c:pt idx="48">
                  <c:v>9.6912843188523626E-2</c:v>
                </c:pt>
                <c:pt idx="49">
                  <c:v>9.8282183246174076E-2</c:v>
                </c:pt>
                <c:pt idx="50">
                  <c:v>9.9639866057927573E-2</c:v>
                </c:pt>
              </c:numCache>
            </c:numRef>
          </c:val>
          <c:extLst>
            <c:ext xmlns:c16="http://schemas.microsoft.com/office/drawing/2014/chart" uri="{C3380CC4-5D6E-409C-BE32-E72D297353CC}">
              <c16:uniqueId val="{0000000A-8157-174B-BCEC-50A1FDBFD2E1}"/>
            </c:ext>
          </c:extLst>
        </c:ser>
        <c:ser>
          <c:idx val="5"/>
          <c:order val="11"/>
          <c:tx>
            <c:strRef>
              <c:f>'10. Emisiones consumo-basadas'!$B$42</c:f>
              <c:strCache>
                <c:ptCount val="1"/>
                <c:pt idx="0">
                  <c:v>Electricidade</c:v>
                </c:pt>
              </c:strCache>
            </c:strRef>
          </c:tx>
          <c:spPr>
            <a:pattFill prst="pct25">
              <a:fgClr>
                <a:schemeClr val="accent1">
                  <a:lumMod val="75000"/>
                </a:schemeClr>
              </a:fgClr>
              <a:bgClr>
                <a:prstClr val="white"/>
              </a:bgClr>
            </a:pattFill>
          </c:spPr>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consumo-basadas'!$M$42:$BK$42</c:f>
              <c:numCache>
                <c:formatCode>#,##0.000_);\(#,##0.000\)</c:formatCode>
                <c:ptCount val="51"/>
                <c:pt idx="0">
                  <c:v>2.192480040938059E-2</c:v>
                </c:pt>
                <c:pt idx="1">
                  <c:v>2.4053142932035233E-2</c:v>
                </c:pt>
                <c:pt idx="2">
                  <c:v>2.3461474116566232E-2</c:v>
                </c:pt>
                <c:pt idx="3">
                  <c:v>2.179474676935431E-2</c:v>
                </c:pt>
                <c:pt idx="4">
                  <c:v>2.0559545738690243E-2</c:v>
                </c:pt>
                <c:pt idx="5">
                  <c:v>2.0750995937904766E-2</c:v>
                </c:pt>
                <c:pt idx="6">
                  <c:v>1.3011089228697431E-2</c:v>
                </c:pt>
                <c:pt idx="7">
                  <c:v>1.2867491207179239E-2</c:v>
                </c:pt>
                <c:pt idx="8">
                  <c:v>2.4302409925418572E-2</c:v>
                </c:pt>
                <c:pt idx="9">
                  <c:v>1.6188272846698954E-2</c:v>
                </c:pt>
                <c:pt idx="10">
                  <c:v>2.3852918663287169E-2</c:v>
                </c:pt>
                <c:pt idx="11">
                  <c:v>1.7946593222549306E-2</c:v>
                </c:pt>
                <c:pt idx="12">
                  <c:v>3.0810408667577213E-2</c:v>
                </c:pt>
                <c:pt idx="13">
                  <c:v>3.9298240340511589E-2</c:v>
                </c:pt>
                <c:pt idx="14">
                  <c:v>4.5035238309714308E-2</c:v>
                </c:pt>
                <c:pt idx="15">
                  <c:v>4.7162838498687437E-2</c:v>
                </c:pt>
                <c:pt idx="16">
                  <c:v>2.1346329841257238E-2</c:v>
                </c:pt>
                <c:pt idx="17">
                  <c:v>1.9407078376749959E-2</c:v>
                </c:pt>
                <c:pt idx="18">
                  <c:v>3.5633709804089198E-2</c:v>
                </c:pt>
                <c:pt idx="19">
                  <c:v>2.6614537064042286E-2</c:v>
                </c:pt>
                <c:pt idx="20">
                  <c:v>2.6675553112502033E-2</c:v>
                </c:pt>
                <c:pt idx="21">
                  <c:v>3.353056255571734E-2</c:v>
                </c:pt>
                <c:pt idx="22">
                  <c:v>4.0114577879116299E-2</c:v>
                </c:pt>
                <c:pt idx="23">
                  <c:v>4.645211280169808E-2</c:v>
                </c:pt>
                <c:pt idx="24">
                  <c:v>5.2561781765197831E-2</c:v>
                </c:pt>
                <c:pt idx="25">
                  <c:v>5.8458705181437892E-2</c:v>
                </c:pt>
                <c:pt idx="26">
                  <c:v>6.4682181104503231E-2</c:v>
                </c:pt>
                <c:pt idx="27">
                  <c:v>7.1958591477862932E-2</c:v>
                </c:pt>
                <c:pt idx="28">
                  <c:v>7.9172188926985784E-2</c:v>
                </c:pt>
                <c:pt idx="29">
                  <c:v>8.63027205451605E-2</c:v>
                </c:pt>
                <c:pt idx="30">
                  <c:v>9.3325849858169108E-2</c:v>
                </c:pt>
                <c:pt idx="31">
                  <c:v>0.10294474182978579</c:v>
                </c:pt>
                <c:pt idx="32">
                  <c:v>0.1056248849693948</c:v>
                </c:pt>
                <c:pt idx="33">
                  <c:v>0.10832769272926146</c:v>
                </c:pt>
                <c:pt idx="34">
                  <c:v>0.11104695520198626</c:v>
                </c:pt>
                <c:pt idx="35">
                  <c:v>0.11377609886466455</c:v>
                </c:pt>
                <c:pt idx="36">
                  <c:v>0.11654811753446737</c:v>
                </c:pt>
                <c:pt idx="37">
                  <c:v>0.1193170697638771</c:v>
                </c:pt>
                <c:pt idx="38">
                  <c:v>0.12207471319729082</c:v>
                </c:pt>
                <c:pt idx="39">
                  <c:v>0.12481278119684869</c:v>
                </c:pt>
                <c:pt idx="40">
                  <c:v>0.12752351640433707</c:v>
                </c:pt>
                <c:pt idx="41">
                  <c:v>0.13024606359708718</c:v>
                </c:pt>
                <c:pt idx="42">
                  <c:v>0.13292826984979708</c:v>
                </c:pt>
                <c:pt idx="43">
                  <c:v>0.13556290891110151</c:v>
                </c:pt>
                <c:pt idx="44">
                  <c:v>0.1381433195230439</c:v>
                </c:pt>
                <c:pt idx="45">
                  <c:v>0.140663840165066</c:v>
                </c:pt>
                <c:pt idx="46">
                  <c:v>0.14318409741810162</c:v>
                </c:pt>
                <c:pt idx="47">
                  <c:v>0.14563130967873103</c:v>
                </c:pt>
                <c:pt idx="48">
                  <c:v>0.14800111306956229</c:v>
                </c:pt>
                <c:pt idx="49">
                  <c:v>0.15028994552456798</c:v>
                </c:pt>
                <c:pt idx="50">
                  <c:v>0.15249524699951572</c:v>
                </c:pt>
              </c:numCache>
            </c:numRef>
          </c:val>
          <c:extLst>
            <c:ext xmlns:c16="http://schemas.microsoft.com/office/drawing/2014/chart" uri="{C3380CC4-5D6E-409C-BE32-E72D297353CC}">
              <c16:uniqueId val="{0000000B-8157-174B-BCEC-50A1FDBFD2E1}"/>
            </c:ext>
          </c:extLst>
        </c:ser>
        <c:ser>
          <c:idx val="12"/>
          <c:order val="12"/>
          <c:tx>
            <c:strRef>
              <c:f>'10. Emisiones consumo-basadas'!$C$36</c:f>
              <c:strCache>
                <c:ptCount val="1"/>
                <c:pt idx="0">
                  <c:v>CO2 biogênico a bioetanol</c:v>
                </c:pt>
              </c:strCache>
            </c:strRef>
          </c:tx>
          <c:spPr>
            <a:solidFill>
              <a:schemeClr val="accent3">
                <a:lumMod val="75000"/>
                <a:alpha val="32000"/>
              </a:schemeClr>
            </a:solidFill>
          </c:spPr>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consumo-basadas'!$N$36:$BL$36</c:f>
              <c:numCache>
                <c:formatCode>#,##0.0_);\(#,##0.0\)</c:formatCode>
                <c:ptCount val="51"/>
                <c:pt idx="0">
                  <c:v>4.1972963076000003</c:v>
                </c:pt>
                <c:pt idx="1">
                  <c:v>3.5889584544000002</c:v>
                </c:pt>
                <c:pt idx="2">
                  <c:v>4.0446246456000008</c:v>
                </c:pt>
                <c:pt idx="3">
                  <c:v>3.6711662724000003</c:v>
                </c:pt>
                <c:pt idx="4">
                  <c:v>4.5566619119999991</c:v>
                </c:pt>
                <c:pt idx="5">
                  <c:v>4.8526100568000006</c:v>
                </c:pt>
                <c:pt idx="6">
                  <c:v>6.4497905207999997</c:v>
                </c:pt>
                <c:pt idx="7">
                  <c:v>8.7962365260000013</c:v>
                </c:pt>
                <c:pt idx="8">
                  <c:v>10.799758490400002</c:v>
                </c:pt>
                <c:pt idx="9">
                  <c:v>12.413380517999999</c:v>
                </c:pt>
                <c:pt idx="10">
                  <c:v>12.364055827200001</c:v>
                </c:pt>
                <c:pt idx="11">
                  <c:v>10.741038620400001</c:v>
                </c:pt>
                <c:pt idx="12">
                  <c:v>9.5736876047999999</c:v>
                </c:pt>
                <c:pt idx="13">
                  <c:v>11.255424681600001</c:v>
                </c:pt>
                <c:pt idx="14">
                  <c:v>12.4791467724</c:v>
                </c:pt>
                <c:pt idx="15">
                  <c:v>14.287718768400003</c:v>
                </c:pt>
                <c:pt idx="16">
                  <c:v>13.395176744400002</c:v>
                </c:pt>
                <c:pt idx="17">
                  <c:v>12.758653353600003</c:v>
                </c:pt>
                <c:pt idx="18">
                  <c:v>14.783314471200002</c:v>
                </c:pt>
                <c:pt idx="19">
                  <c:v>14.19612782822276</c:v>
                </c:pt>
                <c:pt idx="20">
                  <c:v>14.792246318666098</c:v>
                </c:pt>
                <c:pt idx="21">
                  <c:v>15.397486525026645</c:v>
                </c:pt>
                <c:pt idx="22">
                  <c:v>16.011832001293566</c:v>
                </c:pt>
                <c:pt idx="23">
                  <c:v>17.20402851064776</c:v>
                </c:pt>
                <c:pt idx="24">
                  <c:v>18.362753065599946</c:v>
                </c:pt>
                <c:pt idx="25">
                  <c:v>19.517673383312196</c:v>
                </c:pt>
                <c:pt idx="26">
                  <c:v>20.685355449688263</c:v>
                </c:pt>
                <c:pt idx="27">
                  <c:v>21.874693818371927</c:v>
                </c:pt>
                <c:pt idx="28">
                  <c:v>23.091946810036884</c:v>
                </c:pt>
                <c:pt idx="29">
                  <c:v>23.767901610667892</c:v>
                </c:pt>
                <c:pt idx="30">
                  <c:v>24.445223777105255</c:v>
                </c:pt>
                <c:pt idx="31">
                  <c:v>25.125414419684805</c:v>
                </c:pt>
                <c:pt idx="32">
                  <c:v>25.809368541336678</c:v>
                </c:pt>
                <c:pt idx="33">
                  <c:v>26.497602327862388</c:v>
                </c:pt>
                <c:pt idx="34">
                  <c:v>27.190413092944741</c:v>
                </c:pt>
                <c:pt idx="35">
                  <c:v>27.887854023672542</c:v>
                </c:pt>
                <c:pt idx="36">
                  <c:v>28.589759435015878</c:v>
                </c:pt>
                <c:pt idx="37">
                  <c:v>29.295517479548931</c:v>
                </c:pt>
                <c:pt idx="38">
                  <c:v>30.004179583509355</c:v>
                </c:pt>
                <c:pt idx="39">
                  <c:v>30.714662482600222</c:v>
                </c:pt>
                <c:pt idx="40">
                  <c:v>31.425983930425513</c:v>
                </c:pt>
                <c:pt idx="41">
                  <c:v>32.13733004375753</c:v>
                </c:pt>
                <c:pt idx="42">
                  <c:v>32.847701739883441</c:v>
                </c:pt>
                <c:pt idx="43">
                  <c:v>33.556057845298355</c:v>
                </c:pt>
                <c:pt idx="44">
                  <c:v>34.261500295190437</c:v>
                </c:pt>
                <c:pt idx="45">
                  <c:v>34.963484587401155</c:v>
                </c:pt>
                <c:pt idx="46">
                  <c:v>35.661861873217418</c:v>
                </c:pt>
                <c:pt idx="47">
                  <c:v>36.353957856402218</c:v>
                </c:pt>
                <c:pt idx="48">
                  <c:v>37.039615270084056</c:v>
                </c:pt>
                <c:pt idx="49">
                  <c:v>37.718979901094265</c:v>
                </c:pt>
                <c:pt idx="50">
                  <c:v>38.39261002602646</c:v>
                </c:pt>
              </c:numCache>
            </c:numRef>
          </c:val>
          <c:extLst>
            <c:ext xmlns:c16="http://schemas.microsoft.com/office/drawing/2014/chart" uri="{C3380CC4-5D6E-409C-BE32-E72D297353CC}">
              <c16:uniqueId val="{0000000C-8157-174B-BCEC-50A1FDBFD2E1}"/>
            </c:ext>
          </c:extLst>
        </c:ser>
        <c:ser>
          <c:idx val="13"/>
          <c:order val="13"/>
          <c:tx>
            <c:strRef>
              <c:f>'10. Emisiones consumo-basadas'!$C$37</c:f>
              <c:strCache>
                <c:ptCount val="1"/>
                <c:pt idx="0">
                  <c:v>CO2 biogênico de biodiesel</c:v>
                </c:pt>
              </c:strCache>
            </c:strRef>
          </c:tx>
          <c:spPr>
            <a:solidFill>
              <a:schemeClr val="accent3">
                <a:lumMod val="50000"/>
                <a:alpha val="33000"/>
              </a:schemeClr>
            </a:solidFill>
          </c:spPr>
          <c:cat>
            <c:numRef>
              <c:f>'10. Emisiones consumo-basadas'!$N$23:$BL$23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'10. Emisiones consumo-basadas'!$N$37:$BL$37</c:f>
              <c:numCache>
                <c:formatCode>#,##0.0_);\(#,##0.0\)</c:formatCode>
                <c:ptCount val="51"/>
                <c:pt idx="0">
                  <c:v>0</c:v>
                </c:pt>
                <c:pt idx="1">
                  <c:v>0</c:v>
                </c:pt>
                <c:pt idx="2">
                  <c:v>0</c:v>
                </c:pt>
                <c:pt idx="3">
                  <c:v>0</c:v>
                </c:pt>
                <c:pt idx="4">
                  <c:v>0</c:v>
                </c:pt>
                <c:pt idx="5">
                  <c:v>0</c:v>
                </c:pt>
                <c:pt idx="6">
                  <c:v>3.6860625331807464E-2</c:v>
                </c:pt>
                <c:pt idx="7">
                  <c:v>6.5688251373786227E-2</c:v>
                </c:pt>
                <c:pt idx="8">
                  <c:v>0.33277089170160007</c:v>
                </c:pt>
                <c:pt idx="9">
                  <c:v>0.42998833334900272</c:v>
                </c:pt>
                <c:pt idx="10">
                  <c:v>0.59364705068502532</c:v>
                </c:pt>
                <c:pt idx="11">
                  <c:v>0.54375314383869566</c:v>
                </c:pt>
                <c:pt idx="12">
                  <c:v>0.29420049478219956</c:v>
                </c:pt>
                <c:pt idx="13">
                  <c:v>0.30093593384324807</c:v>
                </c:pt>
                <c:pt idx="14">
                  <c:v>0.31574131686085405</c:v>
                </c:pt>
                <c:pt idx="15">
                  <c:v>0.34579491428561487</c:v>
                </c:pt>
                <c:pt idx="16">
                  <c:v>0.2599828191329544</c:v>
                </c:pt>
                <c:pt idx="17">
                  <c:v>0.30124860163387213</c:v>
                </c:pt>
                <c:pt idx="18">
                  <c:v>0.44912240406705767</c:v>
                </c:pt>
                <c:pt idx="19">
                  <c:v>0.29891998158570293</c:v>
                </c:pt>
                <c:pt idx="20">
                  <c:v>0.29740281100778893</c:v>
                </c:pt>
                <c:pt idx="21">
                  <c:v>0.29577972193562585</c:v>
                </c:pt>
                <c:pt idx="22">
                  <c:v>0.294051349448329</c:v>
                </c:pt>
                <c:pt idx="23">
                  <c:v>0.301661552106745</c:v>
                </c:pt>
                <c:pt idx="24">
                  <c:v>0.3076718688590947</c:v>
                </c:pt>
                <c:pt idx="25">
                  <c:v>0.31268512087812655</c:v>
                </c:pt>
                <c:pt idx="26">
                  <c:v>0.31702111473765737</c:v>
                </c:pt>
                <c:pt idx="27">
                  <c:v>0.32116735158429782</c:v>
                </c:pt>
                <c:pt idx="28">
                  <c:v>0.32490265811966768</c:v>
                </c:pt>
                <c:pt idx="29">
                  <c:v>0.33425405610728937</c:v>
                </c:pt>
                <c:pt idx="30">
                  <c:v>0.34362450276786055</c:v>
                </c:pt>
                <c:pt idx="31">
                  <c:v>0.35303475020656949</c:v>
                </c:pt>
                <c:pt idx="32">
                  <c:v>0.36249716757728623</c:v>
                </c:pt>
                <c:pt idx="33">
                  <c:v>0.37201888468930672</c:v>
                </c:pt>
                <c:pt idx="34">
                  <c:v>0.3816040041750618</c:v>
                </c:pt>
                <c:pt idx="35">
                  <c:v>0.39125325220047902</c:v>
                </c:pt>
                <c:pt idx="36">
                  <c:v>0.4009643277546211</c:v>
                </c:pt>
                <c:pt idx="37">
                  <c:v>0.41072875904294093</c:v>
                </c:pt>
                <c:pt idx="38">
                  <c:v>0.42053341707571468</c:v>
                </c:pt>
                <c:pt idx="39">
                  <c:v>0.43036330998514788</c:v>
                </c:pt>
                <c:pt idx="40">
                  <c:v>0.44020484306199859</c:v>
                </c:pt>
                <c:pt idx="41">
                  <c:v>0.45004675019461404</c:v>
                </c:pt>
                <c:pt idx="42">
                  <c:v>0.45987520381399372</c:v>
                </c:pt>
                <c:pt idx="43">
                  <c:v>0.46967579420173983</c:v>
                </c:pt>
                <c:pt idx="44">
                  <c:v>0.47943609094740552</c:v>
                </c:pt>
                <c:pt idx="45">
                  <c:v>0.48914855369547883</c:v>
                </c:pt>
                <c:pt idx="46">
                  <c:v>0.49881111429478137</c:v>
                </c:pt>
                <c:pt idx="47">
                  <c:v>0.50838677563030721</c:v>
                </c:pt>
                <c:pt idx="48">
                  <c:v>0.51787335312099858</c:v>
                </c:pt>
                <c:pt idx="49">
                  <c:v>0.52727285366145649</c:v>
                </c:pt>
                <c:pt idx="50">
                  <c:v>0.53659298921037402</c:v>
                </c:pt>
              </c:numCache>
            </c:numRef>
          </c:val>
          <c:extLst>
            <c:ext xmlns:c16="http://schemas.microsoft.com/office/drawing/2014/chart" uri="{C3380CC4-5D6E-409C-BE32-E72D297353CC}">
              <c16:uniqueId val="{0000000D-8157-174B-BCEC-50A1FDBFD2E1}"/>
            </c:ext>
          </c:extLst>
        </c:ser>
        <c:dLbls>
          <c:showLegendKey val="0"/>
          <c:showVal val="0"/>
          <c:showCatName val="0"/>
          <c:showSerName val="0"/>
          <c:showPercent val="0"/>
          <c:showBubbleSize val="0"/>
        </c:dLbls>
        <c:axId val="-2059376488"/>
        <c:axId val="-2059373480"/>
      </c:areaChart>
      <c:catAx>
        <c:axId val="-2059376488"/>
        <c:scaling>
          <c:orientation val="minMax"/>
        </c:scaling>
        <c:delete val="0"/>
        <c:axPos val="b"/>
        <c:numFmt formatCode="General" sourceLinked="1"/>
        <c:majorTickMark val="out"/>
        <c:minorTickMark val="none"/>
        <c:tickLblPos val="nextTo"/>
        <c:crossAx val="-2059373480"/>
        <c:crosses val="autoZero"/>
        <c:auto val="1"/>
        <c:lblAlgn val="ctr"/>
        <c:lblOffset val="100"/>
        <c:tickLblSkip val="5"/>
        <c:tickMarkSkip val="5"/>
        <c:noMultiLvlLbl val="0"/>
      </c:catAx>
      <c:valAx>
        <c:axId val="-2059373480"/>
        <c:scaling>
          <c:orientation val="minMax"/>
          <c:max val="140"/>
        </c:scaling>
        <c:delete val="0"/>
        <c:axPos val="l"/>
        <c:majorGridlines/>
        <c:title>
          <c:tx>
            <c:rich>
              <a:bodyPr rot="-5400000" vert="horz"/>
              <a:lstStyle/>
              <a:p>
                <a:pPr>
                  <a:defRPr sz="1000"/>
                </a:pPr>
                <a:r>
                  <a:rPr lang="en-US" sz="1000" b="1" i="0" baseline="0">
                    <a:effectLst/>
                  </a:rPr>
                  <a:t>Emissões de GEE (Tg CO</a:t>
                </a:r>
                <a:r>
                  <a:rPr lang="en-US" sz="1000" b="1" i="0" baseline="-25000">
                    <a:effectLst/>
                  </a:rPr>
                  <a:t>2</a:t>
                </a:r>
                <a:r>
                  <a:rPr lang="en-US" sz="1000" b="1" i="0" baseline="0">
                    <a:effectLst/>
                  </a:rPr>
                  <a:t>e)</a:t>
                </a:r>
                <a:endParaRPr lang="en-US" sz="1000">
                  <a:effectLst/>
                </a:endParaRPr>
              </a:p>
            </c:rich>
          </c:tx>
          <c:overlay val="0"/>
        </c:title>
        <c:numFmt formatCode="#,##0_);\(#,##0\)" sourceLinked="0"/>
        <c:majorTickMark val="out"/>
        <c:minorTickMark val="none"/>
        <c:tickLblPos val="nextTo"/>
        <c:crossAx val="-2059376488"/>
        <c:crosses val="autoZero"/>
        <c:crossBetween val="midCat"/>
      </c:valAx>
    </c:plotArea>
    <c:legend>
      <c:legendPos val="r"/>
      <c:layout>
        <c:manualLayout>
          <c:xMode val="edge"/>
          <c:yMode val="edge"/>
          <c:x val="9.2488192465859778E-2"/>
          <c:y val="2.7340734079191256E-2"/>
          <c:w val="0.79672075945082521"/>
          <c:h val="0.36667032944789357"/>
        </c:manualLayout>
      </c:layout>
      <c:overlay val="0"/>
      <c:spPr>
        <a:solidFill>
          <a:sysClr val="window" lastClr="FFFFFF">
            <a:alpha val="49000"/>
          </a:sysClr>
        </a:solidFill>
      </c:spPr>
    </c:legend>
    <c:plotVisOnly val="1"/>
    <c:dispBlanksAs val="zero"/>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FtoSN1e712f5Z6GbZ3IZOE6ASQ==">AMUW2mVl32Fj3G3ddXDJF/Et52K/gH5MReEq0C6lnKOx1K13Skw3s17LEEhmo6NDLmb1zN4Gok9VhSjxvvQApWXocXo6cZYpMS021YvWqGcAMaeVb1pgu2hgr2+Tn4PmfF+fjP5tOXRe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 YAMASHITA</dc:creator>
  <cp:lastModifiedBy>Holly Lindquist</cp:lastModifiedBy>
  <cp:revision>4</cp:revision>
  <dcterms:created xsi:type="dcterms:W3CDTF">2021-04-29T19:20:00Z</dcterms:created>
  <dcterms:modified xsi:type="dcterms:W3CDTF">2021-04-29T19:37:00Z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0x010100061EF40BEFF52C4E8F935A024D802C26</vt:lpwstr>
  </property>
</Properties>
</file>